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yêu-cầu-phân-tích-pascoadxl-cho-paper-s1"/>
    <w:p>
      <w:pPr>
        <w:pStyle w:val="Heading1"/>
      </w:pPr>
      <w:r>
        <w:t xml:space="preserve">YÊU CẦU PHÂN TÍCH PASCO–ADXL CHO PAPER S1</w:t>
      </w:r>
    </w:p>
    <w:bookmarkStart w:id="20" w:name="dữ-liệu"/>
    <w:p>
      <w:pPr>
        <w:pStyle w:val="Heading2"/>
      </w:pPr>
      <w:r>
        <w:t xml:space="preserve">Dữ liệu</w:t>
      </w:r>
    </w:p>
    <w:p>
      <w:pPr>
        <w:pStyle w:val="Compact"/>
        <w:numPr>
          <w:ilvl w:val="0"/>
          <w:numId w:val="1001"/>
        </w:numPr>
      </w:pPr>
      <w:r>
        <w:t xml:space="preserve">36 cặp file CSV PASCO–ADXL đo đồng thời: 4 trạng thái × 3 kích thích × 3 run.</w:t>
      </w:r>
    </w:p>
    <w:p>
      <w:pPr>
        <w:pStyle w:val="Compact"/>
        <w:numPr>
          <w:ilvl w:val="0"/>
          <w:numId w:val="1001"/>
        </w:numPr>
      </w:pPr>
      <w:r>
        <w:t xml:space="preserve">12 cặp file Healthy đo vào ngày khác.</w:t>
      </w:r>
    </w:p>
    <w:bookmarkEnd w:id="20"/>
    <w:bookmarkStart w:id="21" w:name="mục-tiêu"/>
    <w:p>
      <w:pPr>
        <w:pStyle w:val="Heading2"/>
      </w:pPr>
      <w:r>
        <w:t xml:space="preserve">Mục tiêu</w:t>
      </w:r>
    </w:p>
    <w:p>
      <w:pPr>
        <w:pStyle w:val="FirstParagraph"/>
      </w:pPr>
      <w:r>
        <w:t xml:space="preserve">Đánh giá:</w:t>
      </w:r>
    </w:p>
    <w:p>
      <w:pPr>
        <w:pStyle w:val="Compact"/>
        <w:numPr>
          <w:ilvl w:val="0"/>
          <w:numId w:val="1002"/>
        </w:numPr>
      </w:pPr>
      <w:r>
        <w:t xml:space="preserve">Chất lượng file và kênh đo;</w:t>
      </w:r>
    </w:p>
    <w:p>
      <w:pPr>
        <w:pStyle w:val="Compact"/>
        <w:numPr>
          <w:ilvl w:val="0"/>
          <w:numId w:val="1002"/>
        </w:numPr>
      </w:pPr>
      <w:r>
        <w:t xml:space="preserve">Mức nhất quán giữa PASCO và ADXL;</w:t>
      </w:r>
    </w:p>
    <w:p>
      <w:pPr>
        <w:pStyle w:val="Compact"/>
        <w:numPr>
          <w:ilvl w:val="0"/>
          <w:numId w:val="1002"/>
        </w:numPr>
      </w:pPr>
      <w:r>
        <w:t xml:space="preserve">Độ ổn định của dữ liệu Healthy giữa hai ngày;</w:t>
      </w:r>
    </w:p>
    <w:p>
      <w:pPr>
        <w:pStyle w:val="Compact"/>
        <w:numPr>
          <w:ilvl w:val="0"/>
          <w:numId w:val="1002"/>
        </w:numPr>
      </w:pPr>
      <w:r>
        <w:t xml:space="preserve">File/kênh đủ điều kiện đưa vào Gate 1.</w:t>
      </w:r>
    </w:p>
    <w:p>
      <w:pPr>
        <w:pStyle w:val="FirstParagraph"/>
      </w:pPr>
      <w:r>
        <w:t xml:space="preserve">Không chạy mô hình AI và không phân loại trạng thái.</w:t>
      </w:r>
    </w:p>
    <w:bookmarkEnd w:id="21"/>
    <w:bookmarkStart w:id="22" w:name="nội-dung-chính"/>
    <w:p>
      <w:pPr>
        <w:pStyle w:val="Heading2"/>
      </w:pPr>
      <w:r>
        <w:t xml:space="preserve">Nội dung chính</w:t>
      </w:r>
    </w:p>
    <w:p>
      <w:pPr>
        <w:pStyle w:val="Compact"/>
        <w:numPr>
          <w:ilvl w:val="0"/>
          <w:numId w:val="1003"/>
        </w:numPr>
      </w:pPr>
      <w:r>
        <w:t xml:space="preserve">Ghép đúng từng cặp file theo ngày, trạng thái, kích thích và run.</w:t>
      </w:r>
    </w:p>
    <w:p>
      <w:pPr>
        <w:pStyle w:val="Compact"/>
        <w:numPr>
          <w:ilvl w:val="0"/>
          <w:numId w:val="1003"/>
        </w:numPr>
      </w:pPr>
      <w:r>
        <w:t xml:space="preserve">Kiểm tra sampling rate, số mẫu hợp lệ, NaN, kênh phẳng, clipping, drift và nhiễu.</w:t>
      </w:r>
    </w:p>
    <w:p>
      <w:pPr>
        <w:pStyle w:val="Compact"/>
        <w:numPr>
          <w:ilvl w:val="0"/>
          <w:numId w:val="1003"/>
        </w:numPr>
      </w:pPr>
      <w:r>
        <w:t xml:space="preserve">Với PASCO, NaN cuối file chỉ cần cắt theo đoạn dữ liệu hợp lệ chung.</w:t>
      </w:r>
    </w:p>
    <w:p>
      <w:pPr>
        <w:pStyle w:val="Compact"/>
        <w:numPr>
          <w:ilvl w:val="0"/>
          <w:numId w:val="1003"/>
        </w:numPr>
      </w:pPr>
      <w:r>
        <w:t xml:space="preserve">Đồng bộ thời gian hai thiết bị; chuẩn hóa đơn vị và trục đo.</w:t>
      </w:r>
    </w:p>
    <w:p>
      <w:pPr>
        <w:pStyle w:val="Compact"/>
        <w:numPr>
          <w:ilvl w:val="0"/>
          <w:numId w:val="1003"/>
        </w:numPr>
      </w:pPr>
      <w:r>
        <w:t xml:space="preserve">Khi giảm ADXL từ 300 Hz xuống 100 Hz, phải lọc chống alias trước.</w:t>
      </w:r>
    </w:p>
    <w:p>
      <w:pPr>
        <w:pStyle w:val="Compact"/>
        <w:numPr>
          <w:ilvl w:val="0"/>
          <w:numId w:val="1003"/>
        </w:numPr>
      </w:pPr>
      <w:r>
        <w:t xml:space="preserve">So sánh PASCO–ADXL bằng:</w:t>
      </w:r>
    </w:p>
    <w:p>
      <w:pPr>
        <w:pStyle w:val="Compact"/>
        <w:numPr>
          <w:ilvl w:val="1"/>
          <w:numId w:val="1004"/>
        </w:numPr>
      </w:pPr>
      <w:r>
        <w:t xml:space="preserve">correlation và time lag;</w:t>
      </w:r>
    </w:p>
    <w:p>
      <w:pPr>
        <w:pStyle w:val="Compact"/>
        <w:numPr>
          <w:ilvl w:val="1"/>
          <w:numId w:val="1004"/>
        </w:numPr>
      </w:pPr>
      <w:r>
        <w:t xml:space="preserve">RMS ratio, NRMSE và bias;</w:t>
      </w:r>
    </w:p>
    <w:p>
      <w:pPr>
        <w:pStyle w:val="Compact"/>
        <w:numPr>
          <w:ilvl w:val="1"/>
          <w:numId w:val="1004"/>
        </w:numPr>
      </w:pPr>
      <w:r>
        <w:t xml:space="preserve">dominant frequency;</w:t>
      </w:r>
    </w:p>
    <w:p>
      <w:pPr>
        <w:pStyle w:val="Compact"/>
        <w:numPr>
          <w:ilvl w:val="1"/>
          <w:numId w:val="1004"/>
        </w:numPr>
      </w:pPr>
      <w:r>
        <w:t xml:space="preserve">PSD similarity;</w:t>
      </w:r>
    </w:p>
    <w:p>
      <w:pPr>
        <w:pStyle w:val="Compact"/>
        <w:numPr>
          <w:ilvl w:val="1"/>
          <w:numId w:val="1004"/>
        </w:numPr>
      </w:pPr>
      <w:r>
        <w:t xml:space="preserve">coherence.</w:t>
      </w:r>
    </w:p>
    <w:p>
      <w:pPr>
        <w:pStyle w:val="Compact"/>
        <w:numPr>
          <w:ilvl w:val="0"/>
          <w:numId w:val="1003"/>
        </w:numPr>
      </w:pPr>
      <w:r>
        <w:t xml:space="preserve">So sánh dữ liệu Healthy giữa hai ngày để xác định day/session shift.</w:t>
      </w:r>
    </w:p>
    <w:bookmarkEnd w:id="22"/>
    <w:bookmarkStart w:id="23" w:name="file-đầu-ra"/>
    <w:p>
      <w:pPr>
        <w:pStyle w:val="Heading2"/>
      </w:pPr>
      <w:r>
        <w:t xml:space="preserve">File đầu ra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PAIR_REGISTRY.csv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DATA_QC.csv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PASCO_ADXL_AGREEMENT.csv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HEALTHY_INTERDAY_RESULTS.csv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S1_MEASUREMENT_REPORT.md</w:t>
      </w:r>
    </w:p>
    <w:p>
      <w:pPr>
        <w:pStyle w:val="FirstParagraph"/>
      </w:pPr>
      <w:r>
        <w:t xml:space="preserve">Báo cáo theo cấu trúc:</w:t>
      </w:r>
    </w:p>
    <w:p>
      <w:pPr>
        <w:pStyle w:val="BodyText"/>
      </w:pPr>
      <w:r>
        <w:rPr>
          <w:b/>
          <w:bCs/>
        </w:rPr>
        <w:t xml:space="preserve">Kết quả chính → Bằng chứng → Hạn chế → Ảnh hưởng đến Gate 1</w:t>
      </w:r>
    </w:p>
    <w:bookmarkEnd w:id="23"/>
    <w:bookmarkStart w:id="24" w:name="không-thực-hiện"/>
    <w:p>
      <w:pPr>
        <w:pStyle w:val="Heading2"/>
      </w:pPr>
      <w:r>
        <w:t xml:space="preserve">Không thực hiện</w:t>
      </w:r>
    </w:p>
    <w:p>
      <w:pPr>
        <w:pStyle w:val="Compact"/>
        <w:numPr>
          <w:ilvl w:val="0"/>
          <w:numId w:val="1006"/>
        </w:numPr>
      </w:pPr>
      <w:r>
        <w:t xml:space="preserve">Không chạy RF, SVM, CNN, ResNet;</w:t>
      </w:r>
    </w:p>
    <w:p>
      <w:pPr>
        <w:pStyle w:val="Compact"/>
        <w:numPr>
          <w:ilvl w:val="0"/>
          <w:numId w:val="1006"/>
        </w:numPr>
      </w:pPr>
      <w:r>
        <w:t xml:space="preserve">không tính accuracy, F1 hoặc confusion matrix;</w:t>
      </w:r>
    </w:p>
    <w:p>
      <w:pPr>
        <w:pStyle w:val="Compact"/>
        <w:numPr>
          <w:ilvl w:val="0"/>
          <w:numId w:val="1006"/>
        </w:numPr>
      </w:pPr>
      <w:r>
        <w:t xml:space="preserve">không phân tích khả năng phân biệt 4 trạng thái;</w:t>
      </w:r>
    </w:p>
    <w:p>
      <w:pPr>
        <w:pStyle w:val="Compact"/>
        <w:numPr>
          <w:ilvl w:val="0"/>
          <w:numId w:val="1006"/>
        </w:numPr>
      </w:pPr>
      <w:r>
        <w:t xml:space="preserve">không kết luận cảm biến nào chính xác hơn vì chưa có thiết bị chuẩn.</w:t>
      </w:r>
    </w:p>
    <w:p>
      <w:pPr>
        <w:pStyle w:val="FirstParagraph"/>
      </w:pPr>
      <w:r>
        <w:t xml:space="preserve">Kết luận chỉ giới hạn ở chất lượng dữ liệu, mức agreement giữa hai thiết bị và độ ổn định giữa hai ngày đo.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