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4E70" w14:textId="77777777" w:rsidR="007838BA" w:rsidRPr="00FC2C68" w:rsidRDefault="00000000">
      <w:pPr>
        <w:spacing w:before="800" w:after="60"/>
        <w:jc w:val="center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color w:val="1F3864"/>
          <w:sz w:val="26"/>
          <w:szCs w:val="26"/>
        </w:rPr>
        <w:t>MASTER RESEARCH CHARTER</w:t>
      </w:r>
    </w:p>
    <w:p w14:paraId="489BF06F" w14:textId="77777777" w:rsidR="007838BA" w:rsidRPr="00FC2C68" w:rsidRDefault="00000000">
      <w:pPr>
        <w:spacing w:after="200"/>
        <w:jc w:val="center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color w:val="2E5090"/>
          <w:sz w:val="26"/>
          <w:szCs w:val="26"/>
        </w:rPr>
        <w:t>Version 2.0  —  Traceability-Core Architecture</w:t>
      </w:r>
    </w:p>
    <w:p w14:paraId="2163B2AF" w14:textId="77777777" w:rsidR="007838BA" w:rsidRPr="00FC2C68" w:rsidRDefault="00000000">
      <w:pPr>
        <w:spacing w:after="40"/>
        <w:jc w:val="center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i/>
          <w:iCs/>
          <w:color w:val="595959"/>
          <w:sz w:val="26"/>
          <w:szCs w:val="26"/>
        </w:rPr>
        <w:t>Data-informed Digital Twin Framework for Condition Monitoring</w:t>
      </w:r>
    </w:p>
    <w:p w14:paraId="08CAADAF" w14:textId="77777777" w:rsidR="007838BA" w:rsidRPr="00FC2C68" w:rsidRDefault="00000000">
      <w:pPr>
        <w:spacing w:after="300"/>
        <w:jc w:val="center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i/>
          <w:iCs/>
          <w:color w:val="595959"/>
          <w:sz w:val="26"/>
          <w:szCs w:val="26"/>
        </w:rPr>
        <w:t>and Inspection–Maintenance Support of Coastal Industrial Steel Buildings</w:t>
      </w:r>
    </w:p>
    <w:p w14:paraId="6275B856" w14:textId="77777777" w:rsidR="007838BA" w:rsidRPr="00FC2C68" w:rsidRDefault="007838BA">
      <w:pPr>
        <w:pBdr>
          <w:bottom w:val="single" w:sz="6" w:space="0" w:color="C0C8D8"/>
        </w:pBdr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592DAA0F" w14:textId="77777777" w:rsidR="007838BA" w:rsidRPr="00FC2C68" w:rsidRDefault="00000000">
      <w:pPr>
        <w:spacing w:after="4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Field: </w:t>
      </w:r>
      <w:r w:rsidRPr="00FC2C68">
        <w:rPr>
          <w:rFonts w:ascii="Times New Roman" w:hAnsi="Times New Roman" w:cs="Times New Roman"/>
          <w:sz w:val="26"/>
          <w:szCs w:val="26"/>
        </w:rPr>
        <w:t>Construction Management / Asset Management</w:t>
      </w:r>
    </w:p>
    <w:p w14:paraId="47E1F417" w14:textId="77777777" w:rsidR="007838BA" w:rsidRPr="00FC2C68" w:rsidRDefault="00000000">
      <w:pPr>
        <w:spacing w:after="4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Status: </w:t>
      </w:r>
      <w:r w:rsidRPr="00FC2C68">
        <w:rPr>
          <w:rFonts w:ascii="Times New Roman" w:hAnsi="Times New Roman" w:cs="Times New Roman"/>
          <w:sz w:val="26"/>
          <w:szCs w:val="26"/>
        </w:rPr>
        <w:t>Source of truth. Supersedes v1.1 (LIMITED-FEM). Realigns the thesis onto a Construction-Management traceability-and-accountability core.</w:t>
      </w:r>
    </w:p>
    <w:p w14:paraId="425DECBF" w14:textId="77777777" w:rsidR="007838BA" w:rsidRPr="00FC2C68" w:rsidRDefault="00000000">
      <w:pPr>
        <w:spacing w:after="4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Approved basis: </w:t>
      </w:r>
      <w:r w:rsidRPr="00FC2C68">
        <w:rPr>
          <w:rFonts w:ascii="Times New Roman" w:hAnsi="Times New Roman" w:cs="Times New Roman"/>
          <w:sz w:val="26"/>
          <w:szCs w:val="26"/>
        </w:rPr>
        <w:t>Council review sessions 17–19/07/2026; supervisor Verdict B (17/07/2026); LIMITED-FEM architecture retained.</w:t>
      </w:r>
    </w:p>
    <w:p w14:paraId="285045C9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Date: </w:t>
      </w:r>
      <w:r w:rsidRPr="00FC2C68">
        <w:rPr>
          <w:rFonts w:ascii="Times New Roman" w:hAnsi="Times New Roman" w:cs="Times New Roman"/>
          <w:sz w:val="26"/>
          <w:szCs w:val="26"/>
        </w:rPr>
        <w:t>2026-07-19</w:t>
      </w:r>
    </w:p>
    <w:p w14:paraId="2A92072A" w14:textId="77777777" w:rsidR="007838BA" w:rsidRPr="00FC2C68" w:rsidRDefault="007838BA">
      <w:pPr>
        <w:pBdr>
          <w:bottom w:val="single" w:sz="6" w:space="0" w:color="C0C8D8"/>
        </w:pBdr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3F299340" w14:textId="77777777" w:rsidR="007838BA" w:rsidRPr="00FC2C68" w:rsidRDefault="00000000">
      <w:pPr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br w:type="page"/>
      </w:r>
    </w:p>
    <w:p w14:paraId="3902D28C" w14:textId="77777777" w:rsidR="007838BA" w:rsidRPr="00FC2C68" w:rsidRDefault="00000000">
      <w:pPr>
        <w:spacing w:after="160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color w:val="1F3864"/>
          <w:sz w:val="26"/>
          <w:szCs w:val="26"/>
        </w:rPr>
        <w:lastRenderedPageBreak/>
        <w:t>Contents</w:t>
      </w:r>
    </w:p>
    <w:sdt>
      <w:sdtPr>
        <w:rPr>
          <w:rFonts w:ascii="Times New Roman" w:hAnsi="Times New Roman" w:cs="Times New Roman"/>
          <w:sz w:val="26"/>
          <w:szCs w:val="26"/>
        </w:rPr>
        <w:alias w:val="Contents"/>
        <w:id w:val="-1852480467"/>
      </w:sdtPr>
      <w:sdtContent>
        <w:p w14:paraId="3C540599" w14:textId="77777777" w:rsidR="00FC2C68" w:rsidRPr="00FC2C68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FC2C6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C2C68">
            <w:rPr>
              <w:rFonts w:ascii="Times New Roman" w:hAnsi="Times New Roman" w:cs="Times New Roman"/>
              <w:sz w:val="26"/>
              <w:szCs w:val="26"/>
            </w:rPr>
            <w:instrText>TOC \h \o "1-2"</w:instrText>
          </w:r>
          <w:r w:rsidRPr="00FC2C6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35385442" w:history="1">
            <w:r w:rsidR="00FC2C68"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 What changed from v1.1 (and why)</w:t>
            </w:r>
            <w:r w:rsidR="00FC2C68"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FC2C68"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="00FC2C68"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_Toc235385442 \h </w:instrText>
            </w:r>
            <w:r w:rsidR="00FC2C68"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="00FC2C68"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="00FC2C68"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3</w:t>
            </w:r>
            <w:r w:rsidR="00FC2C68"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E679605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43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 Central axis of the thesis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_Toc235385443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3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6F33D0B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44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Core evidence chain (locked)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_Toc235385444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C79B952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45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Core identifier chain (locked)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_Toc235385445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4C74EF7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46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 Research questions (re-framed through the management lens)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_Toc235385446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D2D1AD7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47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 Chapter ↔ Question ↔ Paper mapping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_Toc235385447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66BA463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48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 Paper portfolio and the 3-year / 2×Q3 plan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_Toc235385448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A8E5497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49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 Making the QLXD core unmistakable (Paper 2 / C5)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_Toc235385449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6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14FEA9D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0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  Work packages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_Toc235385450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6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1E866FF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1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  Validation ladder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_Toc235385451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6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BC415EF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2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  Evidence gates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_Toc235385452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7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C8A4EBD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3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  Allowed and prohibited claims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_Toc235385453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7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0FB6521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4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Allowed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_Toc235385454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7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7636CDE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5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Prohibited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_Toc235385455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7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C545E3B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6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  Role of the nominal FEM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_Toc235385456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8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BAFF89E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7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12.  Execution roadmap (3 years)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_Toc235385457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8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8E1908D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8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Immediate blockers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_Toc235385458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8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073522E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59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Year 1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_Toc235385459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8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3248A33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60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Year 2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_Toc235385460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8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BD6980D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61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Year 3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_Toc235385461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8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293F62E" w14:textId="77777777" w:rsidR="00FC2C68" w:rsidRPr="00FC2C68" w:rsidRDefault="00FC2C6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62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Discipline guardrail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_Toc235385462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8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157F2D2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63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13.  Post-PhD extensions (deferred, ordered by value-nearness)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_Toc235385463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9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60B06EF" w14:textId="77777777" w:rsidR="00FC2C68" w:rsidRPr="00FC2C68" w:rsidRDefault="00FC2C6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35385464" w:history="1">
            <w:r w:rsidRPr="00FC2C6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14.  Terminology control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_Toc235385464 \h </w:instrTex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t>9</w:t>
            </w:r>
            <w:r w:rsidRPr="00FC2C68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015C27B" w14:textId="77777777" w:rsidR="007838BA" w:rsidRPr="00FC2C68" w:rsidRDefault="00000000">
          <w:pPr>
            <w:rPr>
              <w:rFonts w:ascii="Times New Roman" w:hAnsi="Times New Roman" w:cs="Times New Roman"/>
              <w:sz w:val="26"/>
              <w:szCs w:val="26"/>
            </w:rPr>
          </w:pPr>
          <w:r w:rsidRPr="00FC2C6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2DD2B034" w14:textId="77777777" w:rsidR="007838BA" w:rsidRPr="00FC2C68" w:rsidRDefault="00000000">
      <w:pPr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br w:type="page"/>
      </w:r>
    </w:p>
    <w:p w14:paraId="06BE8FFA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0" w:name="_Toc235385442"/>
      <w:r w:rsidRPr="00FC2C68">
        <w:rPr>
          <w:rFonts w:ascii="Times New Roman" w:hAnsi="Times New Roman" w:cs="Times New Roman"/>
          <w:sz w:val="26"/>
          <w:szCs w:val="26"/>
        </w:rPr>
        <w:lastRenderedPageBreak/>
        <w:t>1.  What changed from v1.1 (and why)</w:t>
      </w:r>
      <w:bookmarkEnd w:id="0"/>
    </w:p>
    <w:p w14:paraId="57A613D1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 xml:space="preserve">v1.1 correctly demoted FEM to a nominal reference tool and named traceability as the thesis core. But the research questions were still written in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>ontology-engineering language</w:t>
      </w:r>
      <w:r w:rsidRPr="00FC2C68">
        <w:rPr>
          <w:rFonts w:ascii="Times New Roman" w:hAnsi="Times New Roman" w:cs="Times New Roman"/>
          <w:sz w:val="26"/>
          <w:szCs w:val="26"/>
        </w:rPr>
        <w:t xml:space="preserve"> (IFC GlobalId, SHACL, provenance, competency questions). A Construction-Management (QLXD) defence panel would recognise a strong information-modelling contribution — but ask the decisive question: </w:t>
      </w:r>
      <w:r w:rsidRPr="00FC2C68">
        <w:rPr>
          <w:rFonts w:ascii="Times New Roman" w:hAnsi="Times New Roman" w:cs="Times New Roman"/>
          <w:i/>
          <w:iCs/>
          <w:sz w:val="26"/>
          <w:szCs w:val="26"/>
        </w:rPr>
        <w:t>“what management decision does this change, and who is accountable for it?”</w:t>
      </w:r>
    </w:p>
    <w:p w14:paraId="19531EA5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v2 fixes this by re-framing, not by adding scope. Three elements are now embedded into the core so the QLXD contribution is unmistakable:</w:t>
      </w:r>
    </w:p>
    <w:p w14:paraId="24CB5657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>CEI as a first-class attribute of the traceability chain</w:t>
      </w:r>
      <w:r w:rsidRPr="00FC2C68">
        <w:rPr>
          <w:rFonts w:ascii="Times New Roman" w:hAnsi="Times New Roman" w:cs="Times New Roman"/>
          <w:sz w:val="26"/>
          <w:szCs w:val="26"/>
        </w:rPr>
        <w:t xml:space="preserve"> — evidence is linked together with its own confidence, not linked bare.</w:t>
      </w:r>
    </w:p>
    <w:p w14:paraId="27BC1C80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>Justification &amp; accountability as the end purpose</w:t>
      </w:r>
      <w:r w:rsidRPr="00FC2C68">
        <w:rPr>
          <w:rFonts w:ascii="Times New Roman" w:hAnsi="Times New Roman" w:cs="Times New Roman"/>
          <w:sz w:val="26"/>
          <w:szCs w:val="26"/>
        </w:rPr>
        <w:t xml:space="preserve"> — traceability serves a verifiable, auditable inspection decision; it is not a contribution in itself.</w:t>
      </w:r>
    </w:p>
    <w:p w14:paraId="769E2C9E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>“Limited field damage data” as the defining boundary condition</w:t>
      </w:r>
      <w:r w:rsidRPr="00FC2C68">
        <w:rPr>
          <w:rFonts w:ascii="Times New Roman" w:hAnsi="Times New Roman" w:cs="Times New Roman"/>
          <w:sz w:val="26"/>
          <w:szCs w:val="26"/>
        </w:rPr>
        <w:t xml:space="preserve"> — the thesis solves the inverse problem most SHM/DT literature avoids: how to manage inspection when evidence is sparse and uncertain.</w:t>
      </w:r>
    </w:p>
    <w:tbl>
      <w:tblPr>
        <w:tblW w:w="9360" w:type="dxa"/>
        <w:tblBorders>
          <w:top w:val="single" w:sz="2" w:space="0" w:color="AAB4C8"/>
          <w:left w:val="single" w:sz="2" w:space="0" w:color="AAB4C8"/>
          <w:bottom w:val="single" w:sz="2" w:space="0" w:color="AAB4C8"/>
          <w:right w:val="single" w:sz="2" w:space="0" w:color="AAB4C8"/>
          <w:insideH w:val="single" w:sz="2" w:space="0" w:color="D0D6E2"/>
          <w:insideV w:val="single" w:sz="2" w:space="0" w:color="D0D6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7838BA" w:rsidRPr="00FC2C68" w14:paraId="407BC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2AC99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Element</w:t>
            </w:r>
          </w:p>
        </w:tc>
        <w:tc>
          <w:tcPr>
            <w:tcW w:w="33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458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v1.1 (Limited-FEM)</w:t>
            </w:r>
          </w:p>
        </w:tc>
        <w:tc>
          <w:tcPr>
            <w:tcW w:w="33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D44A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v2 (Traceability-Core)</w:t>
            </w:r>
          </w:p>
        </w:tc>
      </w:tr>
      <w:tr w:rsidR="007838BA" w:rsidRPr="00FC2C68" w14:paraId="6CA662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B26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Framing of RQ2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75C3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Organise/link sensor evidence to BIM &amp; inspection records (information modelling)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015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Organise evidence + CEI into a verifiable chain so inspection decisions are justified &amp; accountable under sparse data</w:t>
            </w:r>
          </w:p>
        </w:tc>
      </w:tr>
      <w:tr w:rsidR="007838BA" w:rsidRPr="00FC2C68" w14:paraId="606032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F31D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CEI</w:t>
            </w:r>
          </w:p>
        </w:tc>
        <w:tc>
          <w:tcPr>
            <w:tcW w:w="338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6DA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Confidence indicator, mostly a Paper 1 by-product</w:t>
            </w:r>
          </w:p>
        </w:tc>
        <w:tc>
          <w:tcPr>
            <w:tcW w:w="338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BDB9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First-class attribute of the identifier chain; backbone of Paper 2</w:t>
            </w:r>
          </w:p>
        </w:tc>
      </w:tr>
      <w:tr w:rsidR="007838BA" w:rsidRPr="00FC2C68" w14:paraId="50E0CA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BAD7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Decision logic (4-level)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C88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Deferred to WP4 / optional Paper 4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0D7A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Minimal version pulled into Paper 2 as the application layer of the chain</w:t>
            </w:r>
          </w:p>
        </w:tc>
      </w:tr>
      <w:tr w:rsidR="007838BA" w:rsidRPr="00FC2C68" w14:paraId="3239F6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6247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Legal mapping</w:t>
            </w:r>
          </w:p>
        </w:tc>
        <w:tc>
          <w:tcPr>
            <w:tcW w:w="338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1157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Background context</w:t>
            </w:r>
          </w:p>
        </w:tc>
        <w:tc>
          <w:tcPr>
            <w:tcW w:w="338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FE6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Explicit article-level mapping = the QLXD anchor</w:t>
            </w:r>
          </w:p>
        </w:tc>
      </w:tr>
      <w:tr w:rsidR="007838BA" w:rsidRPr="00FC2C68" w14:paraId="0C13C9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8F0B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Paper 3 (field)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1CF7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Load-bearing pillar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D9EA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Bonus / stretch; not on the critical path</w:t>
            </w:r>
          </w:p>
        </w:tc>
      </w:tr>
      <w:tr w:rsidR="007838BA" w:rsidRPr="00FC2C68" w14:paraId="33B430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C831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FEM</w:t>
            </w:r>
          </w:p>
        </w:tc>
        <w:tc>
          <w:tcPr>
            <w:tcW w:w="338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FA3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Nominal reference only</w:t>
            </w:r>
          </w:p>
        </w:tc>
        <w:tc>
          <w:tcPr>
            <w:tcW w:w="338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A224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Unchanged — nominal, uncalibrated, reference-only</w:t>
            </w:r>
          </w:p>
        </w:tc>
      </w:tr>
    </w:tbl>
    <w:p w14:paraId="22C497A9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1" w:name="_Toc235385443"/>
      <w:r w:rsidRPr="00FC2C68">
        <w:rPr>
          <w:rFonts w:ascii="Times New Roman" w:hAnsi="Times New Roman" w:cs="Times New Roman"/>
          <w:sz w:val="26"/>
          <w:szCs w:val="26"/>
        </w:rPr>
        <w:lastRenderedPageBreak/>
        <w:t>2.  Central axis of the thesis</w:t>
      </w:r>
      <w:bookmarkEnd w:id="1"/>
    </w:p>
    <w:p w14:paraId="6AFAF965" w14:textId="77777777" w:rsidR="007838BA" w:rsidRPr="00FC2C68" w:rsidRDefault="00000000">
      <w:pPr>
        <w:pBdr>
          <w:top w:val="single" w:sz="4" w:space="0" w:color="2E5090"/>
          <w:left w:val="single" w:sz="12" w:space="0" w:color="2E5090"/>
          <w:bottom w:val="single" w:sz="4" w:space="0" w:color="2E5090"/>
          <w:right w:val="single" w:sz="4" w:space="0" w:color="2E5090"/>
        </w:pBdr>
        <w:shd w:val="clear" w:color="auto" w:fill="EAEEF5"/>
        <w:spacing w:before="100" w:after="140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i/>
          <w:iCs/>
          <w:color w:val="1A1A1A"/>
          <w:sz w:val="26"/>
          <w:szCs w:val="26"/>
        </w:rPr>
        <w:t>A data-informed Digital Twin framework organises condition evidence — together with its confidence (CEI) — into a verifiable traceability chain to BIM components and inspection records, so that inspection–maintenance decisions can be justified and their accountability traced, even under limited field damage data. A nominal FEM model serves only as a sensor-placement reference, never as a diagnostic source.</w:t>
      </w:r>
    </w:p>
    <w:p w14:paraId="393E9113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color w:val="1F3864"/>
          <w:sz w:val="26"/>
          <w:szCs w:val="26"/>
        </w:rPr>
        <w:t xml:space="preserve">QLXD core = </w:t>
      </w:r>
      <w:r w:rsidRPr="00FC2C68">
        <w:rPr>
          <w:rFonts w:ascii="Times New Roman" w:hAnsi="Times New Roman" w:cs="Times New Roman"/>
          <w:sz w:val="26"/>
          <w:szCs w:val="26"/>
        </w:rPr>
        <w:t xml:space="preserve">justification &amp; accountability of an asset-management decision under sparse-evidence constraints.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>Not damage diagnosis. Not sensor engineering.</w:t>
      </w:r>
    </w:p>
    <w:p w14:paraId="305069A2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2" w:name="_Toc235385444"/>
      <w:r w:rsidRPr="00FC2C68">
        <w:rPr>
          <w:rFonts w:ascii="Times New Roman" w:hAnsi="Times New Roman" w:cs="Times New Roman"/>
          <w:sz w:val="26"/>
          <w:szCs w:val="26"/>
        </w:rPr>
        <w:t>Core evidence chain (locked)</w:t>
      </w:r>
      <w:bookmarkEnd w:id="2"/>
    </w:p>
    <w:p w14:paraId="17F13CA1" w14:textId="77777777" w:rsidR="007838BA" w:rsidRPr="00FC2C68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80" w:after="120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eastAsia="Consolas" w:hAnsi="Times New Roman" w:cs="Times New Roman"/>
          <w:sz w:val="26"/>
          <w:szCs w:val="26"/>
        </w:rPr>
        <w:t>Vibration data</w:t>
      </w:r>
      <w:r w:rsidRPr="00FC2C68">
        <w:rPr>
          <w:rFonts w:ascii="Times New Roman" w:eastAsia="Consolas" w:hAnsi="Times New Roman" w:cs="Times New Roman"/>
          <w:sz w:val="26"/>
          <w:szCs w:val="26"/>
        </w:rPr>
        <w:br/>
        <w:t xml:space="preserve">  → condition / state-change evidence (+ CEI)</w:t>
      </w:r>
      <w:r w:rsidRPr="00FC2C68">
        <w:rPr>
          <w:rFonts w:ascii="Times New Roman" w:eastAsia="Consolas" w:hAnsi="Times New Roman" w:cs="Times New Roman"/>
          <w:sz w:val="26"/>
          <w:szCs w:val="26"/>
        </w:rPr>
        <w:br/>
        <w:t xml:space="preserve">    → BIM-linked component</w:t>
      </w:r>
      <w:r w:rsidRPr="00FC2C68">
        <w:rPr>
          <w:rFonts w:ascii="Times New Roman" w:eastAsia="Consolas" w:hAnsi="Times New Roman" w:cs="Times New Roman"/>
          <w:sz w:val="26"/>
          <w:szCs w:val="26"/>
        </w:rPr>
        <w:br/>
        <w:t xml:space="preserve">      → inspection record</w:t>
      </w:r>
      <w:r w:rsidRPr="00FC2C68">
        <w:rPr>
          <w:rFonts w:ascii="Times New Roman" w:eastAsia="Consolas" w:hAnsi="Times New Roman" w:cs="Times New Roman"/>
          <w:sz w:val="26"/>
          <w:szCs w:val="26"/>
        </w:rPr>
        <w:br/>
        <w:t xml:space="preserve">        → justified, accountable inspection–maintenance action</w:t>
      </w:r>
    </w:p>
    <w:p w14:paraId="1CAF98A0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3" w:name="_Toc235385445"/>
      <w:r w:rsidRPr="00FC2C68">
        <w:rPr>
          <w:rFonts w:ascii="Times New Roman" w:hAnsi="Times New Roman" w:cs="Times New Roman"/>
          <w:sz w:val="26"/>
          <w:szCs w:val="26"/>
        </w:rPr>
        <w:t>Core identifier chain (locked)</w:t>
      </w:r>
      <w:bookmarkEnd w:id="3"/>
    </w:p>
    <w:p w14:paraId="177EE514" w14:textId="77777777" w:rsidR="007838BA" w:rsidRPr="00FC2C68" w:rsidRDefault="00000000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2F2F2"/>
        <w:spacing w:before="80" w:after="120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eastAsia="Consolas" w:hAnsi="Times New Roman" w:cs="Times New Roman"/>
          <w:sz w:val="26"/>
          <w:szCs w:val="26"/>
        </w:rPr>
        <w:t>Sensor_ID → BIM_GUID → Condition_Evidence_ID (+CEI) → Inspection_Record_ID → Action_Status</w:t>
      </w:r>
    </w:p>
    <w:p w14:paraId="7A26F785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 xml:space="preserve">CEI is now an explicit attribute of every </w:t>
      </w:r>
      <w:r w:rsidRPr="00FC2C68">
        <w:rPr>
          <w:rFonts w:ascii="Times New Roman" w:eastAsia="Consolas" w:hAnsi="Times New Roman" w:cs="Times New Roman"/>
          <w:sz w:val="26"/>
          <w:szCs w:val="26"/>
        </w:rPr>
        <w:t>Condition_Evidence_ID</w:t>
      </w:r>
      <w:r w:rsidRPr="00FC2C68">
        <w:rPr>
          <w:rFonts w:ascii="Times New Roman" w:hAnsi="Times New Roman" w:cs="Times New Roman"/>
          <w:sz w:val="26"/>
          <w:szCs w:val="26"/>
        </w:rPr>
        <w:t xml:space="preserve">. </w:t>
      </w:r>
      <w:r w:rsidRPr="00FC2C68">
        <w:rPr>
          <w:rFonts w:ascii="Times New Roman" w:eastAsia="Consolas" w:hAnsi="Times New Roman" w:cs="Times New Roman"/>
          <w:sz w:val="26"/>
          <w:szCs w:val="26"/>
        </w:rPr>
        <w:t>FEM_Node_ID</w:t>
      </w:r>
      <w:r w:rsidRPr="00FC2C68">
        <w:rPr>
          <w:rFonts w:ascii="Times New Roman" w:hAnsi="Times New Roman" w:cs="Times New Roman"/>
          <w:sz w:val="26"/>
          <w:szCs w:val="26"/>
        </w:rPr>
        <w:t xml:space="preserve"> may exist only as optional metadata; it never appears as a required link.</w:t>
      </w:r>
    </w:p>
    <w:p w14:paraId="43F29F8E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4" w:name="_Toc235385446"/>
      <w:r w:rsidRPr="00FC2C68">
        <w:rPr>
          <w:rFonts w:ascii="Times New Roman" w:hAnsi="Times New Roman" w:cs="Times New Roman"/>
          <w:sz w:val="26"/>
          <w:szCs w:val="26"/>
        </w:rPr>
        <w:t>3.  Research questions (re-framed through the management lens)</w:t>
      </w:r>
      <w:bookmarkEnd w:id="4"/>
    </w:p>
    <w:p w14:paraId="4DDFD657" w14:textId="77777777" w:rsidR="007838BA" w:rsidRPr="00FC2C68" w:rsidRDefault="00000000">
      <w:pPr>
        <w:spacing w:before="80" w:after="60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color w:val="2E5090"/>
          <w:sz w:val="26"/>
          <w:szCs w:val="26"/>
        </w:rPr>
        <w:t>RQ1 — Evidence</w:t>
      </w:r>
    </w:p>
    <w:p w14:paraId="1F2E9396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Under a run-aware, leakage-controlled (LORO) protocol, to what confidence can vibration data from the 1:10 steel frame and different sensor configurations produce evidence distinguishing controlled connection states — and does sensor configuration dominate model-architecture choice?</w:t>
      </w:r>
    </w:p>
    <w:p w14:paraId="58E09C03" w14:textId="77777777" w:rsidR="007838BA" w:rsidRPr="00FC2C68" w:rsidRDefault="00000000">
      <w:pPr>
        <w:spacing w:before="80" w:after="60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color w:val="1F3864"/>
          <w:sz w:val="26"/>
          <w:szCs w:val="26"/>
        </w:rPr>
        <w:t>RQ2 — Traceability &amp; decision  (QLXD core)</w:t>
      </w:r>
    </w:p>
    <w:p w14:paraId="3BCDF39C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How can condition evidence — carrying a confidence/evidence indicator (CEI) — be organised and linked to BIM components and inspection records as a verifiable traceability chain, so that an inspection decision can be justified and its accountability traced, even when field damage data are limited?</w:t>
      </w:r>
    </w:p>
    <w:p w14:paraId="67077D50" w14:textId="77777777" w:rsidR="007838BA" w:rsidRPr="00FC2C68" w:rsidRDefault="00000000">
      <w:pPr>
        <w:spacing w:before="80" w:after="60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color w:val="2E5090"/>
          <w:sz w:val="26"/>
          <w:szCs w:val="26"/>
        </w:rPr>
        <w:t>RQ3 — Field feasibility  (bonus / stretch)</w:t>
      </w:r>
    </w:p>
    <w:p w14:paraId="255F5782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To what extent can the framework be deployed at a real industrial steel building (Rapexco) to support the selection and recording of inspection actions under limited field damage data?</w:t>
      </w:r>
    </w:p>
    <w:p w14:paraId="55ACC9DA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5" w:name="_Toc235385447"/>
      <w:r w:rsidRPr="00FC2C68">
        <w:rPr>
          <w:rFonts w:ascii="Times New Roman" w:hAnsi="Times New Roman" w:cs="Times New Roman"/>
          <w:sz w:val="26"/>
          <w:szCs w:val="26"/>
        </w:rPr>
        <w:lastRenderedPageBreak/>
        <w:t>4.  Chapter ↔ Question ↔ Paper mapping</w:t>
      </w:r>
      <w:bookmarkEnd w:id="5"/>
    </w:p>
    <w:p w14:paraId="60C88FCD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 xml:space="preserve">The load-bearing spine is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>C4 (Paper 1 / RQ1)</w:t>
      </w:r>
      <w:r w:rsidRPr="00FC2C68">
        <w:rPr>
          <w:rFonts w:ascii="Times New Roman" w:hAnsi="Times New Roman" w:cs="Times New Roman"/>
          <w:sz w:val="26"/>
          <w:szCs w:val="26"/>
        </w:rPr>
        <w:t xml:space="preserve"> and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>C5 (Paper 2 / RQ2)</w:t>
      </w:r>
      <w:r w:rsidRPr="00FC2C68">
        <w:rPr>
          <w:rFonts w:ascii="Times New Roman" w:hAnsi="Times New Roman" w:cs="Times New Roman"/>
          <w:sz w:val="26"/>
          <w:szCs w:val="26"/>
        </w:rPr>
        <w:t>. Both are workstation-only and can run in parallel now. C6 (Paper 3 / RQ3, Rapexco) is a bonus prepared only after Papers 1–2 are submitted. There is no FEM chapter.</w:t>
      </w:r>
    </w:p>
    <w:tbl>
      <w:tblPr>
        <w:tblW w:w="9360" w:type="dxa"/>
        <w:tblBorders>
          <w:top w:val="single" w:sz="2" w:space="0" w:color="AAB4C8"/>
          <w:left w:val="single" w:sz="2" w:space="0" w:color="AAB4C8"/>
          <w:bottom w:val="single" w:sz="2" w:space="0" w:color="AAB4C8"/>
          <w:right w:val="single" w:sz="2" w:space="0" w:color="AAB4C8"/>
          <w:insideH w:val="single" w:sz="2" w:space="0" w:color="D0D6E2"/>
          <w:insideV w:val="single" w:sz="2" w:space="0" w:color="D0D6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4662"/>
        <w:gridCol w:w="749"/>
        <w:gridCol w:w="1069"/>
        <w:gridCol w:w="1754"/>
      </w:tblGrid>
      <w:tr w:rsidR="007838BA" w:rsidRPr="00FC2C68" w14:paraId="777A9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A2FD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Chapter</w:t>
            </w:r>
          </w:p>
        </w:tc>
        <w:tc>
          <w:tcPr>
            <w:tcW w:w="3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66C86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Content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1564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RQ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667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Paper</w:t>
            </w:r>
          </w:p>
        </w:tc>
        <w:tc>
          <w:tcPr>
            <w:tcW w:w="291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7B2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QLXD role</w:t>
            </w:r>
          </w:p>
        </w:tc>
      </w:tr>
      <w:tr w:rsidR="007838BA" w:rsidRPr="00FC2C68" w14:paraId="5B36407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2A1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C1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B48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Introduction; asset-management context of coastal steel buildings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0A39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1E426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7A6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Frames the management problem</w:t>
            </w:r>
          </w:p>
        </w:tc>
      </w:tr>
      <w:tr w:rsidR="007838BA" w:rsidRPr="00FC2C68" w14:paraId="7D5A167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2164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C2</w:t>
            </w:r>
          </w:p>
        </w:tc>
        <w:tc>
          <w:tcPr>
            <w:tcW w:w="30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4DA36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Literature &amp; gap = missing evidence→component→record→justified-action chain</w:t>
            </w:r>
          </w:p>
        </w:tc>
        <w:tc>
          <w:tcPr>
            <w:tcW w:w="9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1E2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  <w:tc>
          <w:tcPr>
            <w:tcW w:w="14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FA5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  <w:tc>
          <w:tcPr>
            <w:tcW w:w="291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667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Positions the gap as a management gap, not a technical one</w:t>
            </w:r>
          </w:p>
        </w:tc>
      </w:tr>
      <w:tr w:rsidR="007838BA" w:rsidRPr="00FC2C68" w14:paraId="5029815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9919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C3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05E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Research framework; DT management-maturity self-definition; nominal-FEM subsection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8D7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F58E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34EE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Positive-contribution statement</w:t>
            </w:r>
          </w:p>
        </w:tc>
      </w:tr>
      <w:tr w:rsidR="007838BA" w:rsidRPr="00FC2C68" w14:paraId="0E16BE4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3886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C4</w:t>
            </w:r>
          </w:p>
        </w:tc>
        <w:tc>
          <w:tcPr>
            <w:tcW w:w="30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51B0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 evidence; run-aware/LORO; sensor-configuration effect; CEI as confidence indicator</w:t>
            </w:r>
          </w:p>
        </w:tc>
        <w:tc>
          <w:tcPr>
            <w:tcW w:w="9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7AB9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RQ1</w:t>
            </w:r>
          </w:p>
        </w:tc>
        <w:tc>
          <w:tcPr>
            <w:tcW w:w="14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BE02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Paper 1</w:t>
            </w:r>
          </w:p>
        </w:tc>
        <w:tc>
          <w:tcPr>
            <w:tcW w:w="291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326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Evidence base with quantified confidence</w:t>
            </w:r>
          </w:p>
        </w:tc>
      </w:tr>
      <w:tr w:rsidR="007838BA" w:rsidRPr="00FC2C68" w14:paraId="755DAE3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DDB32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C5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D23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Traceability-to-decision framework: identifier chain + CEI; SCQ/VCQ/RCQ; invalid-data test; legal mapping; minimal 4-level logic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A6DC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RQ2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160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Paper 2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9E54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QLXD CORE — identity pillar</w:t>
            </w:r>
          </w:p>
        </w:tc>
      </w:tr>
      <w:tr w:rsidR="007838BA" w:rsidRPr="00FC2C68" w14:paraId="1B4022F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780D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C6</w:t>
            </w:r>
          </w:p>
        </w:tc>
        <w:tc>
          <w:tcPr>
            <w:tcW w:w="30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541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Rapexco field feasibility: Sensor→BIM mapping, baseline, inspection scenarios</w:t>
            </w:r>
          </w:p>
        </w:tc>
        <w:tc>
          <w:tcPr>
            <w:tcW w:w="9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566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RQ3</w:t>
            </w:r>
          </w:p>
        </w:tc>
        <w:tc>
          <w:tcPr>
            <w:tcW w:w="14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D1FE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Paper 3 (bonus)</w:t>
            </w:r>
          </w:p>
        </w:tc>
        <w:tc>
          <w:tcPr>
            <w:tcW w:w="291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CC5E1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Feasibility evidence</w:t>
            </w:r>
          </w:p>
        </w:tc>
      </w:tr>
      <w:tr w:rsidR="007838BA" w:rsidRPr="00FC2C68" w14:paraId="2DC3B33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B8C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C7</w:t>
            </w:r>
          </w:p>
        </w:tc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0887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(optional, may merge into C6) extended 4-level logic + expert review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1980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RQ3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4A72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Paper 4 (opt.)</w:t>
            </w:r>
          </w:p>
        </w:tc>
        <w:tc>
          <w:tcPr>
            <w:tcW w:w="2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D680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</w:tr>
      <w:tr w:rsidR="007838BA" w:rsidRPr="00FC2C68" w14:paraId="7A9FAF5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CA41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C8</w:t>
            </w:r>
          </w:p>
        </w:tc>
        <w:tc>
          <w:tcPr>
            <w:tcW w:w="30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F0811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Conclusions, contributions, post-PhD extensions</w:t>
            </w:r>
          </w:p>
        </w:tc>
        <w:tc>
          <w:tcPr>
            <w:tcW w:w="9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2F97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  <w:tc>
          <w:tcPr>
            <w:tcW w:w="145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B5A2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  <w:tc>
          <w:tcPr>
            <w:tcW w:w="291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D26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—</w:t>
            </w:r>
          </w:p>
        </w:tc>
      </w:tr>
    </w:tbl>
    <w:p w14:paraId="5B170C26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6" w:name="_Toc235385448"/>
      <w:r w:rsidRPr="00FC2C68">
        <w:rPr>
          <w:rFonts w:ascii="Times New Roman" w:hAnsi="Times New Roman" w:cs="Times New Roman"/>
          <w:sz w:val="26"/>
          <w:szCs w:val="26"/>
        </w:rPr>
        <w:t>5.  Paper portfolio and the 3-year / 2×Q3 plan</w:t>
      </w:r>
      <w:bookmarkEnd w:id="6"/>
    </w:p>
    <w:p w14:paraId="1E3A02C5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lastRenderedPageBreak/>
        <w:t xml:space="preserve">Minimum requirement: two Q3 papers in three years. Load-bearing pillars =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>Paper 1 (RQ1) + Paper 2 (RQ2)</w:t>
      </w:r>
      <w:r w:rsidRPr="00FC2C68">
        <w:rPr>
          <w:rFonts w:ascii="Times New Roman" w:hAnsi="Times New Roman" w:cs="Times New Roman"/>
          <w:sz w:val="26"/>
          <w:szCs w:val="26"/>
        </w:rPr>
        <w:t>. Neither depends on site access. Paper 3 (Rapexco) is a bonus with a real physical base but off the critical path.</w:t>
      </w:r>
    </w:p>
    <w:tbl>
      <w:tblPr>
        <w:tblW w:w="9360" w:type="dxa"/>
        <w:tblBorders>
          <w:top w:val="single" w:sz="2" w:space="0" w:color="AAB4C8"/>
          <w:left w:val="single" w:sz="2" w:space="0" w:color="AAB4C8"/>
          <w:bottom w:val="single" w:sz="2" w:space="0" w:color="AAB4C8"/>
          <w:right w:val="single" w:sz="2" w:space="0" w:color="AAB4C8"/>
          <w:insideH w:val="single" w:sz="2" w:space="0" w:color="D0D6E2"/>
          <w:insideV w:val="single" w:sz="2" w:space="0" w:color="D0D6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3040"/>
        <w:gridCol w:w="2954"/>
        <w:gridCol w:w="2140"/>
      </w:tblGrid>
      <w:tr w:rsidR="007838BA" w:rsidRPr="00FC2C68" w14:paraId="16D53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07CC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Paper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FAD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Working title</w:t>
            </w:r>
          </w:p>
        </w:tc>
        <w:tc>
          <w:tcPr>
            <w:tcW w:w="30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01339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Core content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5AF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Target (verify rank before locking)</w:t>
            </w:r>
          </w:p>
        </w:tc>
      </w:tr>
      <w:tr w:rsidR="007838BA" w:rsidRPr="00FC2C68" w14:paraId="6D3F0B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4F26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Paper 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D0900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Run-Aware Evaluation of Low-Cost Sensor Configurations for Vibration-Based Condition Classification of a Scaled Bolted Steel Frame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EE36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Dataset integrity, run registry, run-aware/LORO, sensor-configuration effect, CEI as confidence indicator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63B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Sensors (primary)</w:t>
            </w:r>
          </w:p>
        </w:tc>
      </w:tr>
      <w:tr w:rsidR="007838BA" w:rsidRPr="00FC2C68" w14:paraId="7420FB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7A3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Paper 2</w:t>
            </w:r>
          </w:p>
        </w:tc>
        <w:tc>
          <w:tcPr>
            <w:tcW w:w="32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FED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A Verifiable Traceability-to-Decision Framework Linking Condition Evidence and Confidence to BIM Objects and Inspection Records for Industrial Steel Buildings</w:t>
            </w:r>
          </w:p>
        </w:tc>
        <w:tc>
          <w:tcPr>
            <w:tcW w:w="306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A7A4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Identifier chain + CEI, pre-registered SCQ/VCQ/RCQ, invalid-data/SHACL test, legal-article mapping, minimal 4-level decision logic</w:t>
            </w:r>
          </w:p>
        </w:tc>
        <w:tc>
          <w:tcPr>
            <w:tcW w:w="22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00E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Automation in Construction / J. Building Engineering / Buildings</w:t>
            </w:r>
          </w:p>
        </w:tc>
      </w:tr>
      <w:tr w:rsidR="007838BA" w:rsidRPr="00FC2C68" w14:paraId="4F2611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D63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Paper 3 (bonus)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EE1A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Field Feasibility of a Data-Informed Digital Twin Framework for Condition-Based Inspection Support at Rapexco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0110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Field deployment, operational baseline, traceability scenarios, inspection-record workflow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7D55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JCSHM / relevant Q2–Q3</w:t>
            </w:r>
          </w:p>
        </w:tc>
      </w:tr>
      <w:tr w:rsidR="007838BA" w:rsidRPr="00FC2C68" w14:paraId="541CF8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6900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Paper 4 (optional)</w:t>
            </w:r>
          </w:p>
        </w:tc>
        <w:tc>
          <w:tcPr>
            <w:tcW w:w="32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CA8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From Condition Evidence to Inspection Priority</w:t>
            </w:r>
          </w:p>
        </w:tc>
        <w:tc>
          <w:tcPr>
            <w:tcW w:w="306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4EA0E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Four-level decision logic, expert scenario review</w:t>
            </w:r>
          </w:p>
        </w:tc>
        <w:tc>
          <w:tcPr>
            <w:tcW w:w="22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BE01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May merge into Paper 3</w:t>
            </w:r>
          </w:p>
        </w:tc>
      </w:tr>
    </w:tbl>
    <w:p w14:paraId="7678AD90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7" w:name="_Toc235385449"/>
      <w:r w:rsidRPr="00FC2C68">
        <w:rPr>
          <w:rFonts w:ascii="Times New Roman" w:hAnsi="Times New Roman" w:cs="Times New Roman"/>
          <w:sz w:val="26"/>
          <w:szCs w:val="26"/>
        </w:rPr>
        <w:t>6.  Making the QLXD core unmistakable (Paper 2 / C5)</w:t>
      </w:r>
      <w:bookmarkEnd w:id="7"/>
    </w:p>
    <w:p w14:paraId="0EA753D1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Three things must be embedded in Paper 2 — this is where the thesis earns its discipline identity.</w:t>
      </w:r>
    </w:p>
    <w:p w14:paraId="44473EFC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CEI = first-class attribute of the chain. </w:t>
      </w:r>
      <w:r w:rsidRPr="00FC2C68">
        <w:rPr>
          <w:rFonts w:ascii="Times New Roman" w:hAnsi="Times New Roman" w:cs="Times New Roman"/>
          <w:sz w:val="26"/>
          <w:szCs w:val="26"/>
        </w:rPr>
        <w:t>Evidence is linked together with its own confidence, not linked bare. This turns a static identifier chain into an evidence-weighted chain and distinguishes it from ordinary IFC linkage.</w:t>
      </w:r>
    </w:p>
    <w:p w14:paraId="7C481D03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RCQ — relationship / decision competency question. </w:t>
      </w:r>
      <w:r w:rsidRPr="00FC2C68">
        <w:rPr>
          <w:rFonts w:ascii="Times New Roman" w:hAnsi="Times New Roman" w:cs="Times New Roman"/>
          <w:sz w:val="26"/>
          <w:szCs w:val="26"/>
        </w:rPr>
        <w:t>“For a given action level, can we trace back the complete evidence + CEI + component + the legal article that justifies it?” This is the question that carries the management contribution.</w:t>
      </w:r>
    </w:p>
    <w:p w14:paraId="758E09A0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Legal-mapping table. </w:t>
      </w:r>
      <w:r w:rsidRPr="00FC2C68">
        <w:rPr>
          <w:rFonts w:ascii="Times New Roman" w:hAnsi="Times New Roman" w:cs="Times New Roman"/>
          <w:sz w:val="26"/>
          <w:szCs w:val="26"/>
        </w:rPr>
        <w:t>Each action level (Normal → Watch → Inspect → Priority) mapped to a specific state-management obligation by article (Luật Xây dựng 135/2025; NĐ 207/2026/NĐ-CP; TT 32/2026/TT-BXD; QĐ 46/2026/QĐ-UBND Khánh Hòa; Công văn 3839). Framed as compliance-capacity building, not mandatory-monitoring overclaim.</w:t>
      </w:r>
    </w:p>
    <w:p w14:paraId="651443F9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Note: </w:t>
      </w:r>
      <w:r w:rsidRPr="00FC2C68">
        <w:rPr>
          <w:rFonts w:ascii="Times New Roman" w:hAnsi="Times New Roman" w:cs="Times New Roman"/>
          <w:sz w:val="26"/>
          <w:szCs w:val="26"/>
        </w:rPr>
        <w:t>the four states are locations (apex, BCJ, brace, healthy), not severity grades — which is exactly why traceability (“which component does this evidence belong to?”) is the natural framing and why DSI/ordinal severity is prohibited.</w:t>
      </w:r>
    </w:p>
    <w:p w14:paraId="5580833E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8" w:name="_Toc235385450"/>
      <w:r w:rsidRPr="00FC2C68">
        <w:rPr>
          <w:rFonts w:ascii="Times New Roman" w:hAnsi="Times New Roman" w:cs="Times New Roman"/>
          <w:sz w:val="26"/>
          <w:szCs w:val="26"/>
        </w:rPr>
        <w:t>7.  Work packages</w:t>
      </w:r>
      <w:bookmarkEnd w:id="8"/>
    </w:p>
    <w:tbl>
      <w:tblPr>
        <w:tblW w:w="9360" w:type="dxa"/>
        <w:tblBorders>
          <w:top w:val="single" w:sz="2" w:space="0" w:color="AAB4C8"/>
          <w:left w:val="single" w:sz="2" w:space="0" w:color="AAB4C8"/>
          <w:bottom w:val="single" w:sz="2" w:space="0" w:color="AAB4C8"/>
          <w:right w:val="single" w:sz="2" w:space="0" w:color="AAB4C8"/>
          <w:insideH w:val="single" w:sz="2" w:space="0" w:color="D0D6E2"/>
          <w:insideV w:val="single" w:sz="2" w:space="0" w:color="D0D6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4505"/>
        <w:gridCol w:w="3312"/>
      </w:tblGrid>
      <w:tr w:rsidR="007838BA" w:rsidRPr="00FC2C68" w14:paraId="3E195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CEE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WP</w:t>
            </w:r>
          </w:p>
        </w:tc>
        <w:tc>
          <w:tcPr>
            <w:tcW w:w="45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EEB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Content</w:t>
            </w:r>
          </w:p>
        </w:tc>
        <w:tc>
          <w:tcPr>
            <w:tcW w:w="3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475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Primary output</w:t>
            </w:r>
          </w:p>
        </w:tc>
      </w:tr>
      <w:tr w:rsidR="007838BA" w:rsidRPr="00FC2C68" w14:paraId="4F141A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03AC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WP1 — Lab evidence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C07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Labelled dataset, run registry, sensor configs, run-aware/LORO, sensor-mode verification (incl. ResNet1D), CEI derivation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6D1E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Reproducible lab evidence with confidence — not field diagnosis</w:t>
            </w:r>
          </w:p>
        </w:tc>
      </w:tr>
      <w:tr w:rsidR="007838BA" w:rsidRPr="00FC2C68" w14:paraId="206A35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4AD9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WP2 — Traceability-to-decision (core)</w:t>
            </w:r>
          </w:p>
        </w:tc>
        <w:tc>
          <w:tcPr>
            <w:tcW w:w="456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51AD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Formal chain + CEI attribute, identifier schema, pre-registered SCQ/VCQ/RCQ, invalid-data/SHACL test, legal-article mapping, minimal 4-level logic, end-to-end lab demo</w:t>
            </w:r>
          </w:p>
        </w:tc>
        <w:tc>
          <w:tcPr>
            <w:tcW w:w="35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5ACD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Verifiable, accountable traceability-to-decision framework</w:t>
            </w:r>
          </w:p>
        </w:tc>
      </w:tr>
      <w:tr w:rsidR="007838BA" w:rsidRPr="00FC2C68" w14:paraId="4FA8537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DCDC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WP3 — Field feasibility (bonus)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B1C6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Rapexco deployment (reference-informed placement), operational baseline, field scenarios, inspection-record workflow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C83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Field-feasibility evidence — not field damage diagnosis</w:t>
            </w:r>
          </w:p>
        </w:tc>
      </w:tr>
      <w:tr w:rsidR="007838BA" w:rsidRPr="00FC2C68" w14:paraId="345237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280B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WP4 — Decision-support synthesis</w:t>
            </w:r>
          </w:p>
        </w:tc>
        <w:tc>
          <w:tcPr>
            <w:tcW w:w="456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F4BA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Extended Normal→Watch→Inspect→Priority logic, case scenarios, facility-manager review (may fold into WP2/WP3)</w:t>
            </w:r>
          </w:p>
        </w:tc>
        <w:tc>
          <w:tcPr>
            <w:tcW w:w="35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6F64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Transparent, unweighted, human-reviewed decision logic</w:t>
            </w:r>
          </w:p>
        </w:tc>
      </w:tr>
    </w:tbl>
    <w:p w14:paraId="5132AF39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9" w:name="_Toc235385451"/>
      <w:r w:rsidRPr="00FC2C68">
        <w:rPr>
          <w:rFonts w:ascii="Times New Roman" w:hAnsi="Times New Roman" w:cs="Times New Roman"/>
          <w:sz w:val="26"/>
          <w:szCs w:val="26"/>
        </w:rPr>
        <w:t>8.  Validation ladder</w:t>
      </w:r>
      <w:bookmarkEnd w:id="9"/>
    </w:p>
    <w:tbl>
      <w:tblPr>
        <w:tblW w:w="9360" w:type="dxa"/>
        <w:tblBorders>
          <w:top w:val="single" w:sz="2" w:space="0" w:color="AAB4C8"/>
          <w:left w:val="single" w:sz="2" w:space="0" w:color="AAB4C8"/>
          <w:bottom w:val="single" w:sz="2" w:space="0" w:color="AAB4C8"/>
          <w:right w:val="single" w:sz="2" w:space="0" w:color="AAB4C8"/>
          <w:insideH w:val="single" w:sz="2" w:space="0" w:color="D0D6E2"/>
          <w:insideV w:val="single" w:sz="2" w:space="0" w:color="D0D6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7838BA" w:rsidRPr="00FC2C68" w14:paraId="3BF4E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070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lastRenderedPageBreak/>
              <w:t>Level</w:t>
            </w:r>
          </w:p>
        </w:tc>
        <w:tc>
          <w:tcPr>
            <w:tcW w:w="7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8CC2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Meaning</w:t>
            </w:r>
          </w:p>
        </w:tc>
      </w:tr>
      <w:tr w:rsidR="007838BA" w:rsidRPr="00FC2C68" w14:paraId="1AFC0B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4B4F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V1 — Lab validity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E162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Controlled connection states are distinguishable and repeatable under run-aware/LORO evaluation; CEI reflects evidence confidence</w:t>
            </w:r>
          </w:p>
        </w:tc>
      </w:tr>
      <w:tr w:rsidR="007838BA" w:rsidRPr="00FC2C68" w14:paraId="2538DB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54E4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V2 — Traceability &amp; decision validity</w:t>
            </w:r>
          </w:p>
        </w:tc>
        <w:tc>
          <w:tcPr>
            <w:tcW w:w="746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D99FA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Identifier chain runs bidirectionally (evidence ↔ component ↔ record ↔ action); RCQ resolves action → evidence+CEI+component+legal article; invalid data is caught</w:t>
            </w:r>
          </w:p>
        </w:tc>
      </w:tr>
      <w:tr w:rsidR="007838BA" w:rsidRPr="00FC2C68" w14:paraId="0D4005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A6E2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V3 — Field feasibility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DDC8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Framework deploys at Rapexco; data return; traceability scenarios execute</w:t>
            </w:r>
          </w:p>
        </w:tc>
      </w:tr>
      <w:tr w:rsidR="007838BA" w:rsidRPr="00FC2C68" w14:paraId="053E31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6EB3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V4 — Decision validity</w:t>
            </w:r>
          </w:p>
        </w:tc>
        <w:tc>
          <w:tcPr>
            <w:tcW w:w="7460" w:type="dxa"/>
            <w:shd w:val="clear" w:color="auto" w:fill="EA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B4A0" w14:textId="77777777" w:rsidR="007838BA" w:rsidRPr="00FC2C68" w:rsidRDefault="00000000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2C6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Recommendations are transparent, explainable, and judged reasonable by facility management</w:t>
            </w:r>
          </w:p>
        </w:tc>
      </w:tr>
    </w:tbl>
    <w:p w14:paraId="3E045B44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10" w:name="_Toc235385452"/>
      <w:r w:rsidRPr="00FC2C68">
        <w:rPr>
          <w:rFonts w:ascii="Times New Roman" w:hAnsi="Times New Roman" w:cs="Times New Roman"/>
          <w:sz w:val="26"/>
          <w:szCs w:val="26"/>
        </w:rPr>
        <w:t>9.  Evidence gates</w:t>
      </w:r>
      <w:bookmarkEnd w:id="10"/>
    </w:p>
    <w:p w14:paraId="482E19FE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G1 </w:t>
      </w:r>
      <w:r w:rsidRPr="00FC2C68">
        <w:rPr>
          <w:rFonts w:ascii="Times New Roman" w:hAnsi="Times New Roman" w:cs="Times New Roman"/>
          <w:sz w:val="26"/>
          <w:szCs w:val="26"/>
        </w:rPr>
        <w:t xml:space="preserve">dataset integrity &amp; run-aware evaluation  · 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G2 </w:t>
      </w:r>
      <w:r w:rsidRPr="00FC2C68">
        <w:rPr>
          <w:rFonts w:ascii="Times New Roman" w:hAnsi="Times New Roman" w:cs="Times New Roman"/>
          <w:sz w:val="26"/>
          <w:szCs w:val="26"/>
        </w:rPr>
        <w:t xml:space="preserve">traceability model, CEI attribute &amp; competency questions  · 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G3 </w:t>
      </w:r>
      <w:r w:rsidRPr="00FC2C68">
        <w:rPr>
          <w:rFonts w:ascii="Times New Roman" w:hAnsi="Times New Roman" w:cs="Times New Roman"/>
          <w:sz w:val="26"/>
          <w:szCs w:val="26"/>
        </w:rPr>
        <w:t xml:space="preserve">end-to-end lab traceability-to-decision demo (incl. invalid-data test)  · 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G4 </w:t>
      </w:r>
      <w:r w:rsidRPr="00FC2C68">
        <w:rPr>
          <w:rFonts w:ascii="Times New Roman" w:hAnsi="Times New Roman" w:cs="Times New Roman"/>
          <w:sz w:val="26"/>
          <w:szCs w:val="26"/>
        </w:rPr>
        <w:t xml:space="preserve">field mapping &amp; baseline feasibility (Rapexco)  · 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G5 </w:t>
      </w:r>
      <w:r w:rsidRPr="00FC2C68">
        <w:rPr>
          <w:rFonts w:ascii="Times New Roman" w:hAnsi="Times New Roman" w:cs="Times New Roman"/>
          <w:sz w:val="26"/>
          <w:szCs w:val="26"/>
        </w:rPr>
        <w:t xml:space="preserve">inspection-action scenario review  · 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G6 </w:t>
      </w:r>
      <w:r w:rsidRPr="00FC2C68">
        <w:rPr>
          <w:rFonts w:ascii="Times New Roman" w:hAnsi="Times New Roman" w:cs="Times New Roman"/>
          <w:sz w:val="26"/>
          <w:szCs w:val="26"/>
        </w:rPr>
        <w:t xml:space="preserve">Paper 2 submission  · 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G7 </w:t>
      </w:r>
      <w:r w:rsidRPr="00FC2C68">
        <w:rPr>
          <w:rFonts w:ascii="Times New Roman" w:hAnsi="Times New Roman" w:cs="Times New Roman"/>
          <w:sz w:val="26"/>
          <w:szCs w:val="26"/>
        </w:rPr>
        <w:t>Paper 3 submission &amp; thesis synthesis.</w:t>
      </w:r>
    </w:p>
    <w:p w14:paraId="2BA7FA65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i/>
          <w:iCs/>
          <w:color w:val="595959"/>
          <w:sz w:val="26"/>
          <w:szCs w:val="26"/>
        </w:rPr>
        <w:t>No FEM calibration, MAC, equivalent-stiffness, or FEM sensor-sensitivity gate exists. Current status: G1 materially strengthened but experimentally open (LORO + ResNet1D provenance pending); G2 strongest but needs pre-registered CQs; G3–G5 open.</w:t>
      </w:r>
    </w:p>
    <w:p w14:paraId="663DB55A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11" w:name="_Toc235385453"/>
      <w:r w:rsidRPr="00FC2C68">
        <w:rPr>
          <w:rFonts w:ascii="Times New Roman" w:hAnsi="Times New Roman" w:cs="Times New Roman"/>
          <w:sz w:val="26"/>
          <w:szCs w:val="26"/>
        </w:rPr>
        <w:t>10.  Allowed and prohibited claims</w:t>
      </w:r>
      <w:bookmarkEnd w:id="11"/>
    </w:p>
    <w:p w14:paraId="68633488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12" w:name="_Toc235385454"/>
      <w:r w:rsidRPr="00FC2C68">
        <w:rPr>
          <w:rFonts w:ascii="Times New Roman" w:hAnsi="Times New Roman" w:cs="Times New Roman"/>
          <w:sz w:val="26"/>
          <w:szCs w:val="26"/>
        </w:rPr>
        <w:t>Allowed</w:t>
      </w:r>
      <w:bookmarkEnd w:id="12"/>
    </w:p>
    <w:p w14:paraId="40E32264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Lab state evidence distinguishes controlled connection states under leakage-controlled evaluation.</w:t>
      </w:r>
    </w:p>
    <w:p w14:paraId="64AB4020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Sensor configuration influences classification more strongly than model-architecture choice.</w:t>
      </w:r>
    </w:p>
    <w:p w14:paraId="18C7F7C0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CEI is a confidence/evidence indicator attached to condition evidence.</w:t>
      </w:r>
    </w:p>
    <w:p w14:paraId="4A783859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The traceability chain links evidence + CEI to components and inspection records, verified through pre-registered competency questions.</w:t>
      </w:r>
    </w:p>
    <w:p w14:paraId="01167FA2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An inspection decision can be justified and its accountability traced back to evidence, confidence, component, and legal article.</w:t>
      </w:r>
    </w:p>
    <w:p w14:paraId="572B2066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The framework is feasibly deployable at a real building.</w:t>
      </w:r>
    </w:p>
    <w:p w14:paraId="2C86CBE3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The nominal FEM provides a sensor-placement reference.</w:t>
      </w:r>
    </w:p>
    <w:p w14:paraId="4A4898CF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13" w:name="_Toc235385455"/>
      <w:r w:rsidRPr="00FC2C68">
        <w:rPr>
          <w:rFonts w:ascii="Times New Roman" w:hAnsi="Times New Roman" w:cs="Times New Roman"/>
          <w:sz w:val="26"/>
          <w:szCs w:val="26"/>
        </w:rPr>
        <w:lastRenderedPageBreak/>
        <w:t>Prohibited</w:t>
      </w:r>
      <w:bookmarkEnd w:id="13"/>
    </w:p>
    <w:p w14:paraId="5E1B12C4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Field damage diagnosis without confirming inspection; direct lab-to-field classifier transfer.</w:t>
      </w:r>
    </w:p>
    <w:p w14:paraId="4FABD3AD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Any claim based on a calibrated FEM; inference of bolt preload or stiffness degradation from FEM.</w:t>
      </w:r>
    </w:p>
    <w:p w14:paraId="0DE471F6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Quantitative transfer of 1:10 conclusions to the real building.</w:t>
      </w:r>
    </w:p>
    <w:p w14:paraId="0FF4A33E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Ordinal severity / DSI; describing CEI as physical severity.</w:t>
      </w:r>
    </w:p>
    <w:p w14:paraId="37272FD4" w14:textId="77777777" w:rsidR="007838BA" w:rsidRPr="00FC2C68" w:rsidRDefault="00000000">
      <w:pPr>
        <w:pStyle w:val="ListParagraph"/>
        <w:numPr>
          <w:ilvl w:val="0"/>
          <w:numId w:val="2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RUL / predictive maintenance; weighted Health Index; “optimal” sensor placement; autonomous maintenance decisions; general AI-superiority.</w:t>
      </w:r>
    </w:p>
    <w:p w14:paraId="7562BB98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14" w:name="_Toc235385456"/>
      <w:r w:rsidRPr="00FC2C68">
        <w:rPr>
          <w:rFonts w:ascii="Times New Roman" w:hAnsi="Times New Roman" w:cs="Times New Roman"/>
          <w:sz w:val="26"/>
          <w:szCs w:val="26"/>
        </w:rPr>
        <w:t>11.  Role of the nominal FEM</w:t>
      </w:r>
      <w:bookmarkEnd w:id="14"/>
    </w:p>
    <w:p w14:paraId="67C39F6A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 xml:space="preserve">FEM is retained solely as a </w:t>
      </w:r>
      <w:r w:rsidRPr="00FC2C68">
        <w:rPr>
          <w:rFonts w:ascii="Times New Roman" w:hAnsi="Times New Roman" w:cs="Times New Roman"/>
          <w:b/>
          <w:bCs/>
          <w:sz w:val="26"/>
          <w:szCs w:val="26"/>
        </w:rPr>
        <w:t>nominal, uncalibrated, reference-only design model</w:t>
      </w:r>
      <w:r w:rsidRPr="00FC2C68">
        <w:rPr>
          <w:rFonts w:ascii="Times New Roman" w:hAnsi="Times New Roman" w:cs="Times New Roman"/>
          <w:sz w:val="26"/>
          <w:szCs w:val="26"/>
        </w:rPr>
        <w:t>. Permitted: (i) preliminary justification of field sensor placement; (ii) illustration of component locations; (iii) qualitative mechanical hypotheses for Paper 1 anomalies (BCJ F1 collapse under S2; Apex↔BCJ confusion) in Discussion/Limitation, labelled “hypothesis, not confirmed.” Prohibited: calibration, damage diagnosis, stiffness-degradation inference, quantitative lab-to-field transfer, and appearance in the name of any RQ, WP, chapter, paper, or gate. Every mention carries the qualifier “nominal, uncalibrated, reference-only, not used for damage diagnosis.”</w:t>
      </w:r>
    </w:p>
    <w:p w14:paraId="56C7A69C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15" w:name="_Toc235385457"/>
      <w:r w:rsidRPr="00FC2C68">
        <w:rPr>
          <w:rFonts w:ascii="Times New Roman" w:hAnsi="Times New Roman" w:cs="Times New Roman"/>
          <w:sz w:val="26"/>
          <w:szCs w:val="26"/>
        </w:rPr>
        <w:t>12.  Execution roadmap (3 years)</w:t>
      </w:r>
      <w:bookmarkEnd w:id="15"/>
    </w:p>
    <w:p w14:paraId="444F873D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16" w:name="_Toc235385458"/>
      <w:r w:rsidRPr="00FC2C68">
        <w:rPr>
          <w:rFonts w:ascii="Times New Roman" w:hAnsi="Times New Roman" w:cs="Times New Roman"/>
          <w:sz w:val="26"/>
          <w:szCs w:val="26"/>
        </w:rPr>
        <w:t>Immediate blockers</w:t>
      </w:r>
      <w:bookmarkEnd w:id="16"/>
    </w:p>
    <w:p w14:paraId="3A03FD76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Verify ResNet1D sensor mode </w:t>
      </w:r>
      <w:r w:rsidRPr="00FC2C68">
        <w:rPr>
          <w:rFonts w:ascii="Times New Roman" w:hAnsi="Times New Roman" w:cs="Times New Roman"/>
          <w:sz w:val="26"/>
          <w:szCs w:val="26"/>
        </w:rPr>
        <w:t>(this week). No ResNet1D number enters Paper 1 until resolved.</w:t>
      </w:r>
    </w:p>
    <w:p w14:paraId="461F6A97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b/>
          <w:bCs/>
          <w:sz w:val="26"/>
          <w:szCs w:val="26"/>
        </w:rPr>
        <w:t xml:space="preserve">Lock the re-framed RQ2 sentence </w:t>
      </w:r>
      <w:r w:rsidRPr="00FC2C68">
        <w:rPr>
          <w:rFonts w:ascii="Times New Roman" w:hAnsi="Times New Roman" w:cs="Times New Roman"/>
          <w:sz w:val="26"/>
          <w:szCs w:val="26"/>
        </w:rPr>
        <w:t>(§3) — it shapes all of Paper 2.</w:t>
      </w:r>
    </w:p>
    <w:p w14:paraId="3E48EAB6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17" w:name="_Toc235385459"/>
      <w:r w:rsidRPr="00FC2C68">
        <w:rPr>
          <w:rFonts w:ascii="Times New Roman" w:hAnsi="Times New Roman" w:cs="Times New Roman"/>
          <w:sz w:val="26"/>
          <w:szCs w:val="26"/>
        </w:rPr>
        <w:t>Year 1</w:t>
      </w:r>
      <w:bookmarkEnd w:id="17"/>
    </w:p>
    <w:p w14:paraId="0E612961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Paper 1: lock run registry, split-before-windowing, LORO (6 folds, common seeds), train-only preprocessing, run-level uncertainty. Narrative: sensor configuration dominates architecture (RF macro-F1 ~0.862 leads; 1D-CNN S12 ~0.841; ResNet1D ~0.828 corroborating only). DSI removed. → submit to Sensors.</w:t>
      </w:r>
    </w:p>
    <w:p w14:paraId="407D18DF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Paper 2 (parallel, no site needed): pre-register SCQ/VCQ/RCQ with a management lens; formalise CEI as a chain attribute; build the end-to-end lab demo incl. invalid-data test; draft the legal-mapping table.</w:t>
      </w:r>
    </w:p>
    <w:p w14:paraId="1A300A6A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18" w:name="_Toc235385460"/>
      <w:r w:rsidRPr="00FC2C68">
        <w:rPr>
          <w:rFonts w:ascii="Times New Roman" w:hAnsi="Times New Roman" w:cs="Times New Roman"/>
          <w:sz w:val="26"/>
          <w:szCs w:val="26"/>
        </w:rPr>
        <w:lastRenderedPageBreak/>
        <w:t>Year 2</w:t>
      </w:r>
      <w:bookmarkEnd w:id="18"/>
    </w:p>
    <w:p w14:paraId="400C5176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Finish and submit Paper 2 (G6). Acquire missing RQ2 full texts (3II2WKLN, NUTL57KJ, Z4IBWW9Y).</w:t>
      </w:r>
    </w:p>
    <w:p w14:paraId="339DE440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Only after Papers 1–2 are submitted: prepare Rapexco field sensor register + BIM mapping; predefine completeness, drift, environmental-coverage, baseline and alert-to-inspection protocols (no universal baseline duration imposed).</w:t>
      </w:r>
    </w:p>
    <w:p w14:paraId="4B4A308F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19" w:name="_Toc235385461"/>
      <w:r w:rsidRPr="00FC2C68">
        <w:rPr>
          <w:rFonts w:ascii="Times New Roman" w:hAnsi="Times New Roman" w:cs="Times New Roman"/>
          <w:sz w:val="26"/>
          <w:szCs w:val="26"/>
        </w:rPr>
        <w:t>Year 3</w:t>
      </w:r>
      <w:bookmarkEnd w:id="19"/>
    </w:p>
    <w:p w14:paraId="7835B876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Paper 3 (bonus) if the site window holds; otherwise the thesis stands on 2×Q3. Thesis synthesis and defence (G7).</w:t>
      </w:r>
    </w:p>
    <w:p w14:paraId="3FF270E4" w14:textId="77777777" w:rsidR="007838BA" w:rsidRPr="00FC2C68" w:rsidRDefault="00000000">
      <w:pPr>
        <w:pStyle w:val="Heading2"/>
        <w:spacing w:before="240" w:after="120"/>
        <w:rPr>
          <w:rFonts w:ascii="Times New Roman" w:hAnsi="Times New Roman" w:cs="Times New Roman"/>
          <w:sz w:val="26"/>
          <w:szCs w:val="26"/>
        </w:rPr>
      </w:pPr>
      <w:bookmarkStart w:id="20" w:name="_Toc235385462"/>
      <w:r w:rsidRPr="00FC2C68">
        <w:rPr>
          <w:rFonts w:ascii="Times New Roman" w:hAnsi="Times New Roman" w:cs="Times New Roman"/>
          <w:sz w:val="26"/>
          <w:szCs w:val="26"/>
        </w:rPr>
        <w:t>Discipline guardrail</w:t>
      </w:r>
      <w:bookmarkEnd w:id="20"/>
    </w:p>
    <w:p w14:paraId="52E1B591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i/>
          <w:iCs/>
          <w:color w:val="7A2E2E"/>
          <w:sz w:val="26"/>
          <w:szCs w:val="26"/>
        </w:rPr>
        <w:t>Do NOT add new technology layers (advanced autoencoders, Edge AI, RUL, full PBSHM, commercial DT, Smart City) while Papers 1–2 are unsubmitted. This is a recurring pattern to watch: new layers tend to appear when core deliverables are unreported. Hold scope.</w:t>
      </w:r>
    </w:p>
    <w:p w14:paraId="37FF543E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21" w:name="_Toc235385463"/>
      <w:r w:rsidRPr="00FC2C68">
        <w:rPr>
          <w:rFonts w:ascii="Times New Roman" w:hAnsi="Times New Roman" w:cs="Times New Roman"/>
          <w:sz w:val="26"/>
          <w:szCs w:val="26"/>
        </w:rPr>
        <w:t>13.  Post-PhD extensions (deferred, ordered by value-nearness)</w:t>
      </w:r>
      <w:bookmarkEnd w:id="21"/>
    </w:p>
    <w:p w14:paraId="594F9CD3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Generalise the CEI-weighted traceability framework to other structure/evidence types (bridges, high-rise, industrial infrastructure).</w:t>
      </w:r>
    </w:p>
    <w:p w14:paraId="5E401D5F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Formalise CEI as an independent, benchmarked indicator.</w:t>
      </w:r>
    </w:p>
    <w:p w14:paraId="5CB3B3BB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Calibrated FEM + model updating for the two Paper 1 anomalies (preserves the firewall).</w:t>
      </w:r>
    </w:p>
    <w:p w14:paraId="7502EE30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Automated referential-integrity + SHACL at multi-building scale.</w:t>
      </w:r>
    </w:p>
    <w:p w14:paraId="0C789ECD" w14:textId="77777777" w:rsidR="007838BA" w:rsidRPr="00FC2C68" w:rsidRDefault="00000000">
      <w:pPr>
        <w:pStyle w:val="ListParagraph"/>
        <w:numPr>
          <w:ilvl w:val="0"/>
          <w:numId w:val="3"/>
        </w:numPr>
        <w:spacing w:after="6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>Predictive maintenance / RUL (furthest; correctly out of PhD scope).</w:t>
      </w:r>
    </w:p>
    <w:p w14:paraId="0A70DF97" w14:textId="77777777" w:rsidR="007838BA" w:rsidRPr="00FC2C68" w:rsidRDefault="00000000">
      <w:pPr>
        <w:pStyle w:val="Heading1"/>
        <w:spacing w:before="320" w:after="160"/>
        <w:rPr>
          <w:rFonts w:ascii="Times New Roman" w:hAnsi="Times New Roman" w:cs="Times New Roman"/>
          <w:sz w:val="26"/>
          <w:szCs w:val="26"/>
        </w:rPr>
      </w:pPr>
      <w:bookmarkStart w:id="22" w:name="_Toc235385464"/>
      <w:r w:rsidRPr="00FC2C68">
        <w:rPr>
          <w:rFonts w:ascii="Times New Roman" w:hAnsi="Times New Roman" w:cs="Times New Roman"/>
          <w:sz w:val="26"/>
          <w:szCs w:val="26"/>
        </w:rPr>
        <w:t>14.  Terminology control</w:t>
      </w:r>
      <w:bookmarkEnd w:id="22"/>
    </w:p>
    <w:p w14:paraId="273E516A" w14:textId="77777777" w:rsidR="007838BA" w:rsidRPr="00FC2C68" w:rsidRDefault="00000000">
      <w:pPr>
        <w:spacing w:after="120" w:line="276" w:lineRule="auto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sz w:val="26"/>
          <w:szCs w:val="26"/>
        </w:rPr>
        <w:t xml:space="preserve">Governed by </w:t>
      </w:r>
      <w:r w:rsidRPr="00FC2C68">
        <w:rPr>
          <w:rFonts w:ascii="Times New Roman" w:eastAsia="Consolas" w:hAnsi="Times New Roman" w:cs="Times New Roman"/>
          <w:sz w:val="26"/>
          <w:szCs w:val="26"/>
        </w:rPr>
        <w:t>TERMINOLOGY_CONTROL_CURRENT.md</w:t>
      </w:r>
      <w:r w:rsidRPr="00FC2C68">
        <w:rPr>
          <w:rFonts w:ascii="Times New Roman" w:hAnsi="Times New Roman" w:cs="Times New Roman"/>
          <w:sz w:val="26"/>
          <w:szCs w:val="26"/>
        </w:rPr>
        <w:t xml:space="preserve"> (lineage v1.1), unchanged by v2. Allowed: condition evidence; state-change evidence; component-level traceability; traceability-to-decision; BIM-linked inspection record; field feasibility; inspection–maintenance support; nominal reference model; reference-informed sensor placement; confidence/evidence indicator (CEI); justification &amp; accountability. Controlled/removed: calibrated FEM; physics-informed condition evidence; equivalent stiffness degradation; mechanical damage interpretation; optimal sensor placement; FEM-based diagnosis; damage severity/DSI; RUL; predictive maintenance; autonomous maintenance decision. </w:t>
      </w:r>
      <w:r w:rsidRPr="00FC2C68">
        <w:rPr>
          <w:rFonts w:ascii="Times New Roman" w:hAnsi="Times New Roman" w:cs="Times New Roman"/>
          <w:sz w:val="26"/>
          <w:szCs w:val="26"/>
        </w:rPr>
        <w:lastRenderedPageBreak/>
        <w:t>Every FEM mention carries the mandatory qualifier. Run the keyword check before any gate closure.</w:t>
      </w:r>
    </w:p>
    <w:p w14:paraId="1CC613C5" w14:textId="77777777" w:rsidR="007838BA" w:rsidRPr="00FC2C68" w:rsidRDefault="007838BA">
      <w:pPr>
        <w:pBdr>
          <w:bottom w:val="single" w:sz="6" w:space="0" w:color="C0C8D8"/>
        </w:pBdr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75F1323F" w14:textId="77777777" w:rsidR="007838BA" w:rsidRPr="00FC2C68" w:rsidRDefault="00000000">
      <w:pPr>
        <w:spacing w:after="12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C2C68">
        <w:rPr>
          <w:rFonts w:ascii="Times New Roman" w:hAnsi="Times New Roman" w:cs="Times New Roman"/>
          <w:i/>
          <w:iCs/>
          <w:color w:val="595959"/>
          <w:sz w:val="26"/>
          <w:szCs w:val="26"/>
        </w:rPr>
        <w:t>End of Charter v2. All subsequent work — papers, evidence files, slides, agent outputs — follows this axis: RQ1 + RQ2 as the load-bearing spine, RQ2/Paper 2 as the Construction-Management identity pillar, RQ3/Rapexco as bonus.</w:t>
      </w:r>
    </w:p>
    <w:sectPr w:rsidR="007838BA" w:rsidRPr="00FC2C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641"/>
    <w:multiLevelType w:val="hybridMultilevel"/>
    <w:tmpl w:val="F71ED99E"/>
    <w:lvl w:ilvl="0" w:tplc="FB8E3C72">
      <w:start w:val="1"/>
      <w:numFmt w:val="bullet"/>
      <w:lvlText w:val="•"/>
      <w:lvlJc w:val="left"/>
      <w:pPr>
        <w:ind w:left="360" w:hanging="200"/>
      </w:pPr>
    </w:lvl>
    <w:lvl w:ilvl="1" w:tplc="709C98C8">
      <w:start w:val="1"/>
      <w:numFmt w:val="bullet"/>
      <w:lvlText w:val="–"/>
      <w:lvlJc w:val="left"/>
      <w:pPr>
        <w:ind w:left="720" w:hanging="200"/>
      </w:pPr>
    </w:lvl>
    <w:lvl w:ilvl="2" w:tplc="DB28514A">
      <w:numFmt w:val="decimal"/>
      <w:lvlText w:val=""/>
      <w:lvlJc w:val="left"/>
    </w:lvl>
    <w:lvl w:ilvl="3" w:tplc="E5DCBF34">
      <w:numFmt w:val="decimal"/>
      <w:lvlText w:val=""/>
      <w:lvlJc w:val="left"/>
    </w:lvl>
    <w:lvl w:ilvl="4" w:tplc="9E42B5BA">
      <w:numFmt w:val="decimal"/>
      <w:lvlText w:val=""/>
      <w:lvlJc w:val="left"/>
    </w:lvl>
    <w:lvl w:ilvl="5" w:tplc="1E3E7758">
      <w:numFmt w:val="decimal"/>
      <w:lvlText w:val=""/>
      <w:lvlJc w:val="left"/>
    </w:lvl>
    <w:lvl w:ilvl="6" w:tplc="F8CC4A6A">
      <w:numFmt w:val="decimal"/>
      <w:lvlText w:val=""/>
      <w:lvlJc w:val="left"/>
    </w:lvl>
    <w:lvl w:ilvl="7" w:tplc="22AED5B0">
      <w:numFmt w:val="decimal"/>
      <w:lvlText w:val=""/>
      <w:lvlJc w:val="left"/>
    </w:lvl>
    <w:lvl w:ilvl="8" w:tplc="38381CEE">
      <w:numFmt w:val="decimal"/>
      <w:lvlText w:val=""/>
      <w:lvlJc w:val="left"/>
    </w:lvl>
  </w:abstractNum>
  <w:abstractNum w:abstractNumId="1" w15:restartNumberingAfterBreak="0">
    <w:nsid w:val="1A7C3331"/>
    <w:multiLevelType w:val="hybridMultilevel"/>
    <w:tmpl w:val="921A9422"/>
    <w:lvl w:ilvl="0" w:tplc="79E6F4E4">
      <w:start w:val="1"/>
      <w:numFmt w:val="bullet"/>
      <w:lvlText w:val="●"/>
      <w:lvlJc w:val="left"/>
      <w:pPr>
        <w:ind w:left="720" w:hanging="360"/>
      </w:pPr>
    </w:lvl>
    <w:lvl w:ilvl="1" w:tplc="89F27BEA">
      <w:start w:val="1"/>
      <w:numFmt w:val="bullet"/>
      <w:lvlText w:val="○"/>
      <w:lvlJc w:val="left"/>
      <w:pPr>
        <w:ind w:left="1440" w:hanging="360"/>
      </w:pPr>
    </w:lvl>
    <w:lvl w:ilvl="2" w:tplc="485C7E24">
      <w:start w:val="1"/>
      <w:numFmt w:val="bullet"/>
      <w:lvlText w:val="■"/>
      <w:lvlJc w:val="left"/>
      <w:pPr>
        <w:ind w:left="2160" w:hanging="360"/>
      </w:pPr>
    </w:lvl>
    <w:lvl w:ilvl="3" w:tplc="885A5DA8">
      <w:start w:val="1"/>
      <w:numFmt w:val="bullet"/>
      <w:lvlText w:val="●"/>
      <w:lvlJc w:val="left"/>
      <w:pPr>
        <w:ind w:left="2880" w:hanging="360"/>
      </w:pPr>
    </w:lvl>
    <w:lvl w:ilvl="4" w:tplc="6CD23DFC">
      <w:start w:val="1"/>
      <w:numFmt w:val="bullet"/>
      <w:lvlText w:val="○"/>
      <w:lvlJc w:val="left"/>
      <w:pPr>
        <w:ind w:left="3600" w:hanging="360"/>
      </w:pPr>
    </w:lvl>
    <w:lvl w:ilvl="5" w:tplc="78446188">
      <w:start w:val="1"/>
      <w:numFmt w:val="bullet"/>
      <w:lvlText w:val="■"/>
      <w:lvlJc w:val="left"/>
      <w:pPr>
        <w:ind w:left="4320" w:hanging="360"/>
      </w:pPr>
    </w:lvl>
    <w:lvl w:ilvl="6" w:tplc="01545F74">
      <w:start w:val="1"/>
      <w:numFmt w:val="bullet"/>
      <w:lvlText w:val="●"/>
      <w:lvlJc w:val="left"/>
      <w:pPr>
        <w:ind w:left="5040" w:hanging="360"/>
      </w:pPr>
    </w:lvl>
    <w:lvl w:ilvl="7" w:tplc="40F46152">
      <w:start w:val="1"/>
      <w:numFmt w:val="bullet"/>
      <w:lvlText w:val="●"/>
      <w:lvlJc w:val="left"/>
      <w:pPr>
        <w:ind w:left="5760" w:hanging="360"/>
      </w:pPr>
    </w:lvl>
    <w:lvl w:ilvl="8" w:tplc="127C93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614D29"/>
    <w:multiLevelType w:val="hybridMultilevel"/>
    <w:tmpl w:val="C1FC8652"/>
    <w:lvl w:ilvl="0" w:tplc="59C08A52">
      <w:start w:val="1"/>
      <w:numFmt w:val="decimal"/>
      <w:lvlText w:val="%1."/>
      <w:lvlJc w:val="left"/>
      <w:pPr>
        <w:ind w:left="360" w:hanging="260"/>
      </w:pPr>
    </w:lvl>
    <w:lvl w:ilvl="1" w:tplc="D826BD8C">
      <w:numFmt w:val="decimal"/>
      <w:lvlText w:val=""/>
      <w:lvlJc w:val="left"/>
    </w:lvl>
    <w:lvl w:ilvl="2" w:tplc="410E13A0">
      <w:numFmt w:val="decimal"/>
      <w:lvlText w:val=""/>
      <w:lvlJc w:val="left"/>
    </w:lvl>
    <w:lvl w:ilvl="3" w:tplc="63485382">
      <w:numFmt w:val="decimal"/>
      <w:lvlText w:val=""/>
      <w:lvlJc w:val="left"/>
    </w:lvl>
    <w:lvl w:ilvl="4" w:tplc="362A5E96">
      <w:numFmt w:val="decimal"/>
      <w:lvlText w:val=""/>
      <w:lvlJc w:val="left"/>
    </w:lvl>
    <w:lvl w:ilvl="5" w:tplc="37505AD0">
      <w:numFmt w:val="decimal"/>
      <w:lvlText w:val=""/>
      <w:lvlJc w:val="left"/>
    </w:lvl>
    <w:lvl w:ilvl="6" w:tplc="3CD07A4C">
      <w:numFmt w:val="decimal"/>
      <w:lvlText w:val=""/>
      <w:lvlJc w:val="left"/>
    </w:lvl>
    <w:lvl w:ilvl="7" w:tplc="179048F4">
      <w:numFmt w:val="decimal"/>
      <w:lvlText w:val=""/>
      <w:lvlJc w:val="left"/>
    </w:lvl>
    <w:lvl w:ilvl="8" w:tplc="3F6A518E">
      <w:numFmt w:val="decimal"/>
      <w:lvlText w:val=""/>
      <w:lvlJc w:val="left"/>
    </w:lvl>
  </w:abstractNum>
  <w:num w:numId="1" w16cid:durableId="1091126931">
    <w:abstractNumId w:val="1"/>
    <w:lvlOverride w:ilvl="0">
      <w:startOverride w:val="1"/>
    </w:lvlOverride>
  </w:num>
  <w:num w:numId="2" w16cid:durableId="151142114">
    <w:abstractNumId w:val="0"/>
    <w:lvlOverride w:ilvl="0">
      <w:startOverride w:val="1"/>
    </w:lvlOverride>
  </w:num>
  <w:num w:numId="3" w16cid:durableId="16892858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8BA"/>
    <w:rsid w:val="00495795"/>
    <w:rsid w:val="007838BA"/>
    <w:rsid w:val="00FC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BD3C"/>
  <w15:docId w15:val="{B739CD04-4AB0-4324-8E04-FDB4CF44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090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C2C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2C6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2589</Words>
  <Characters>14758</Characters>
  <Application>Microsoft Office Word</Application>
  <DocSecurity>0</DocSecurity>
  <Lines>122</Lines>
  <Paragraphs>34</Paragraphs>
  <ScaleCrop>false</ScaleCrop>
  <Company/>
  <LinksUpToDate>false</LinksUpToDate>
  <CharactersWithSpaces>17313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Research Charter v2</dc:title>
  <dc:creator>The Council</dc:creator>
  <cp:lastModifiedBy>HO CHI HAN</cp:lastModifiedBy>
  <cp:revision>2</cp:revision>
  <dcterms:created xsi:type="dcterms:W3CDTF">2026-07-19T13:31:00Z</dcterms:created>
  <dcterms:modified xsi:type="dcterms:W3CDTF">2026-07-19T13:31:00Z</dcterms:modified>
</cp:coreProperties>
</file>