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5AB4" w14:textId="14CF2AE0" w:rsidR="00E23A9D" w:rsidRDefault="00014FE3" w:rsidP="00E23A9D">
      <w:r w:rsidRPr="00014FE3">
        <w:rPr>
          <w:rFonts w:asciiTheme="majorHAnsi" w:eastAsiaTheme="majorEastAsia" w:hAnsiTheme="majorHAnsi" w:cstheme="majorBidi"/>
          <w:b/>
          <w:bCs/>
          <w:color w:val="000000" w:themeColor="text1"/>
          <w:sz w:val="56"/>
          <w:szCs w:val="56"/>
        </w:rPr>
        <w:t>package</w:t>
      </w:r>
      <w:r w:rsidRPr="00014FE3">
        <w:rPr>
          <w:rFonts w:asciiTheme="majorHAnsi" w:eastAsiaTheme="majorEastAsia" w:hAnsiTheme="majorHAnsi" w:cstheme="majorBidi"/>
          <w:color w:val="000000" w:themeColor="text1"/>
          <w:sz w:val="56"/>
          <w:szCs w:val="56"/>
        </w:rPr>
        <w:t xml:space="preserve"> </w:t>
      </w:r>
      <w:proofErr w:type="spellStart"/>
      <w:r w:rsidR="001338A9">
        <w:rPr>
          <w:rFonts w:asciiTheme="majorHAnsi" w:eastAsiaTheme="majorEastAsia" w:hAnsiTheme="majorHAnsi" w:cstheme="majorBidi"/>
          <w:color w:val="000000" w:themeColor="text1"/>
          <w:sz w:val="56"/>
          <w:szCs w:val="56"/>
        </w:rPr>
        <w:t>ATACanalysis</w:t>
      </w:r>
      <w:proofErr w:type="spellEnd"/>
    </w:p>
    <w:p w14:paraId="5527C281" w14:textId="77777777" w:rsidR="00A67210" w:rsidRDefault="00E23A9D" w:rsidP="00A67210">
      <w:r>
        <w:t>The</w:t>
      </w:r>
      <w:r w:rsidR="000F79EA">
        <w:t xml:space="preserve"> </w:t>
      </w:r>
      <w:proofErr w:type="spellStart"/>
      <w:r w:rsidR="001338A9" w:rsidRPr="001338A9">
        <w:t>ATACanalysis</w:t>
      </w:r>
      <w:proofErr w:type="spellEnd"/>
      <w:r w:rsidR="001338A9">
        <w:t xml:space="preserve"> </w:t>
      </w:r>
      <w:r w:rsidR="00693980">
        <w:t xml:space="preserve">package </w:t>
      </w:r>
      <w:r w:rsidR="006A32B6">
        <w:t>provides turnkey data analysis for</w:t>
      </w:r>
      <w:r w:rsidR="00DC421C">
        <w:t xml:space="preserve"> </w:t>
      </w:r>
      <w:r w:rsidR="00EC39F4">
        <w:t xml:space="preserve">the microarray readout of </w:t>
      </w:r>
      <w:r w:rsidR="006A32B6">
        <w:t xml:space="preserve">Surajit </w:t>
      </w:r>
      <w:proofErr w:type="spellStart"/>
      <w:r w:rsidR="006A32B6">
        <w:t>Dhara’s</w:t>
      </w:r>
      <w:proofErr w:type="spellEnd"/>
      <w:r w:rsidR="006A32B6">
        <w:t xml:space="preserve"> </w:t>
      </w:r>
      <w:r w:rsidR="006A3F87">
        <w:t xml:space="preserve">cancer prognostic assay. </w:t>
      </w:r>
      <w:r w:rsidR="00A67210">
        <w:t>It</w:t>
      </w:r>
      <w:r w:rsidR="00D879B3">
        <w:t xml:space="preserve"> implements operations first explored in the Matlab file </w:t>
      </w:r>
      <w:proofErr w:type="spellStart"/>
      <w:r w:rsidR="00D879B3">
        <w:t>ATACarrayWorkflow.m</w:t>
      </w:r>
      <w:proofErr w:type="spellEnd"/>
      <w:r w:rsidR="00D879B3">
        <w:t>.</w:t>
      </w:r>
    </w:p>
    <w:p w14:paraId="549074DF" w14:textId="1911A65B" w:rsidR="00E23A9D" w:rsidRDefault="00B8528C" w:rsidP="00A67210">
      <w:r>
        <w:t>Copyright © 2019 by Bo Curry. All rights reserved.</w:t>
      </w:r>
    </w:p>
    <w:p w14:paraId="75FE3B6C" w14:textId="254629A6" w:rsidR="00FA2897" w:rsidRDefault="00FA2897" w:rsidP="00FA2897">
      <w:pPr>
        <w:pStyle w:val="Heading1"/>
      </w:pPr>
      <w:r>
        <w:t xml:space="preserve">Class </w:t>
      </w:r>
      <w:proofErr w:type="spellStart"/>
      <w:r w:rsidR="00693980">
        <w:t>ATACanalysis</w:t>
      </w:r>
      <w:proofErr w:type="spellEnd"/>
    </w:p>
    <w:p w14:paraId="5B4CB71F" w14:textId="360EC596" w:rsidR="003D3E94" w:rsidRPr="00500859" w:rsidRDefault="000071B7" w:rsidP="003D3E94">
      <w:pPr>
        <w:rPr>
          <w:rFonts w:cstheme="minorHAnsi"/>
        </w:rPr>
      </w:pPr>
      <w:r>
        <w:t xml:space="preserve">The </w:t>
      </w:r>
      <w:r w:rsidR="003D3E94" w:rsidRPr="00500859">
        <w:rPr>
          <w:rFonts w:cstheme="minorHAnsi"/>
          <w:color w:val="000000"/>
        </w:rPr>
        <w:t>c</w:t>
      </w:r>
      <w:r w:rsidR="00E02CA2">
        <w:rPr>
          <w:rFonts w:cstheme="minorHAnsi"/>
          <w:color w:val="000000"/>
        </w:rPr>
        <w:t xml:space="preserve">lass </w:t>
      </w:r>
      <w:proofErr w:type="spellStart"/>
      <w:r w:rsidR="00E02CA2">
        <w:rPr>
          <w:rFonts w:cstheme="minorHAnsi"/>
          <w:color w:val="000000"/>
        </w:rPr>
        <w:t>ATACanalysis</w:t>
      </w:r>
      <w:proofErr w:type="spellEnd"/>
      <w:r w:rsidR="00E02CA2">
        <w:rPr>
          <w:rFonts w:cstheme="minorHAnsi"/>
          <w:color w:val="000000"/>
        </w:rPr>
        <w:t xml:space="preserve"> </w:t>
      </w:r>
      <w:r w:rsidR="00176713">
        <w:rPr>
          <w:rFonts w:cstheme="minorHAnsi"/>
          <w:color w:val="000000"/>
        </w:rPr>
        <w:t xml:space="preserve">implements the </w:t>
      </w:r>
      <w:r w:rsidR="007F7DC0">
        <w:rPr>
          <w:rFonts w:cstheme="minorHAnsi"/>
          <w:color w:val="000000"/>
        </w:rPr>
        <w:t>sequential steps of the ATAC array analysis</w:t>
      </w:r>
      <w:r w:rsidR="003D3E94" w:rsidRPr="00500859">
        <w:rPr>
          <w:rFonts w:cstheme="minorHAnsi"/>
          <w:color w:val="000000"/>
        </w:rPr>
        <w:t>.</w:t>
      </w:r>
      <w:r w:rsidR="007F7DC0">
        <w:rPr>
          <w:rFonts w:cstheme="minorHAnsi"/>
          <w:color w:val="000000"/>
        </w:rPr>
        <w:t xml:space="preserve"> It is called with two arguments, the full path to the ATAC region definitions (the design directory), and the full path to the directory containing the Agilent Feature Extraction</w:t>
      </w:r>
      <w:r w:rsidR="007653C3">
        <w:rPr>
          <w:rFonts w:cstheme="minorHAnsi"/>
          <w:color w:val="000000"/>
        </w:rPr>
        <w:t xml:space="preserve"> (FE)</w:t>
      </w:r>
      <w:r w:rsidR="007F7DC0">
        <w:rPr>
          <w:rFonts w:cstheme="minorHAnsi"/>
          <w:color w:val="000000"/>
        </w:rPr>
        <w:t xml:space="preserve"> output files (the </w:t>
      </w:r>
      <w:r w:rsidR="00A045DE">
        <w:rPr>
          <w:rFonts w:cstheme="minorHAnsi"/>
          <w:color w:val="000000"/>
        </w:rPr>
        <w:t>experimental</w:t>
      </w:r>
      <w:r w:rsidR="007F7DC0">
        <w:rPr>
          <w:rFonts w:cstheme="minorHAnsi"/>
          <w:color w:val="000000"/>
        </w:rPr>
        <w:t xml:space="preserve"> directory).</w:t>
      </w:r>
      <w:r w:rsidR="00160962">
        <w:rPr>
          <w:rFonts w:cstheme="minorHAnsi"/>
          <w:color w:val="000000"/>
        </w:rPr>
        <w:t xml:space="preserve"> It then sequentially calls </w:t>
      </w:r>
      <w:r w:rsidR="00A045DE">
        <w:rPr>
          <w:rFonts w:cstheme="minorHAnsi"/>
          <w:color w:val="000000"/>
        </w:rPr>
        <w:t>public methods to proceed stepwise through the analysis workflow.</w:t>
      </w:r>
      <w:r w:rsidR="0086536D">
        <w:rPr>
          <w:rFonts w:cstheme="minorHAnsi"/>
          <w:color w:val="000000"/>
        </w:rPr>
        <w:t xml:space="preserve"> Although these methods are currently not invoked from outside the class, they are defined as </w:t>
      </w:r>
      <w:r w:rsidR="0086536D" w:rsidRPr="0086536D">
        <w:rPr>
          <w:rFonts w:cstheme="minorHAnsi"/>
          <w:b/>
          <w:color w:val="000000"/>
        </w:rPr>
        <w:t>public</w:t>
      </w:r>
      <w:r w:rsidR="0086536D">
        <w:rPr>
          <w:rFonts w:cstheme="minorHAnsi"/>
          <w:color w:val="000000"/>
        </w:rPr>
        <w:t xml:space="preserve"> in case future hosts might choose to do so.</w:t>
      </w:r>
      <w:r w:rsidR="00AC39B4">
        <w:rPr>
          <w:rFonts w:cstheme="minorHAnsi"/>
          <w:color w:val="000000"/>
        </w:rPr>
        <w:t xml:space="preserve"> The </w:t>
      </w:r>
      <w:proofErr w:type="spellStart"/>
      <w:r w:rsidR="00AC39B4">
        <w:rPr>
          <w:rFonts w:cstheme="minorHAnsi"/>
          <w:color w:val="000000"/>
        </w:rPr>
        <w:t>ATACanalysis</w:t>
      </w:r>
      <w:proofErr w:type="spellEnd"/>
      <w:r w:rsidR="00AC39B4">
        <w:rPr>
          <w:rFonts w:cstheme="minorHAnsi"/>
          <w:color w:val="000000"/>
        </w:rPr>
        <w:t xml:space="preserve"> class has no publicly accessible variables.</w:t>
      </w:r>
    </w:p>
    <w:p w14:paraId="5A080F13" w14:textId="45BABB5A" w:rsidR="00C1476C" w:rsidRDefault="00160962" w:rsidP="00732801">
      <w:pPr>
        <w:spacing w:after="0" w:line="240" w:lineRule="auto"/>
        <w:rPr>
          <w:b/>
          <w:bCs/>
        </w:rPr>
      </w:pPr>
      <w:r w:rsidRPr="00160962">
        <w:rPr>
          <w:b/>
          <w:bCs/>
        </w:rPr>
        <w:t xml:space="preserve">public </w:t>
      </w:r>
      <w:proofErr w:type="spellStart"/>
      <w:r w:rsidRPr="00160962">
        <w:rPr>
          <w:bCs/>
        </w:rPr>
        <w:t>ATACanalysis</w:t>
      </w:r>
      <w:proofErr w:type="spellEnd"/>
      <w:r w:rsidRPr="00160962">
        <w:rPr>
          <w:b/>
          <w:bCs/>
        </w:rPr>
        <w:t xml:space="preserve">(String </w:t>
      </w:r>
      <w:proofErr w:type="spellStart"/>
      <w:r w:rsidRPr="00160962">
        <w:rPr>
          <w:bCs/>
        </w:rPr>
        <w:t>exptdir</w:t>
      </w:r>
      <w:proofErr w:type="spellEnd"/>
      <w:r w:rsidRPr="00160962">
        <w:rPr>
          <w:b/>
          <w:bCs/>
        </w:rPr>
        <w:t>)</w:t>
      </w:r>
    </w:p>
    <w:p w14:paraId="27B2393F" w14:textId="77777777" w:rsidR="00160962" w:rsidRDefault="00160962" w:rsidP="00732801">
      <w:pPr>
        <w:spacing w:after="0" w:line="240" w:lineRule="auto"/>
      </w:pPr>
    </w:p>
    <w:p w14:paraId="1B789BA0" w14:textId="3F570A17" w:rsidR="00C1476C" w:rsidRPr="00732801" w:rsidRDefault="00C1476C" w:rsidP="00732801">
      <w:pPr>
        <w:spacing w:after="0" w:line="240" w:lineRule="auto"/>
      </w:pPr>
      <w:r>
        <w:t xml:space="preserve">The </w:t>
      </w:r>
      <w:proofErr w:type="spellStart"/>
      <w:r w:rsidR="00A045DE" w:rsidRPr="00160962">
        <w:rPr>
          <w:bCs/>
        </w:rPr>
        <w:t>ATACanalysis</w:t>
      </w:r>
      <w:proofErr w:type="spellEnd"/>
      <w:r w:rsidR="00A045DE">
        <w:t xml:space="preserve"> </w:t>
      </w:r>
      <w:r>
        <w:t>constructor d</w:t>
      </w:r>
      <w:r w:rsidR="00A045DE">
        <w:t xml:space="preserve">oes nothing but store the path to the </w:t>
      </w:r>
      <w:r w:rsidR="00A045DE">
        <w:rPr>
          <w:rFonts w:cstheme="minorHAnsi"/>
          <w:color w:val="000000"/>
        </w:rPr>
        <w:t>experimental</w:t>
      </w:r>
      <w:r w:rsidR="00A045DE">
        <w:t xml:space="preserve"> directory </w:t>
      </w:r>
      <w:r>
        <w:t>.</w:t>
      </w:r>
    </w:p>
    <w:p w14:paraId="76818B5A" w14:textId="082114BF" w:rsidR="004568F4" w:rsidRDefault="00907677" w:rsidP="00F53155">
      <w:pPr>
        <w:pStyle w:val="Heading2"/>
        <w:ind w:left="0"/>
      </w:pPr>
      <w:proofErr w:type="spellStart"/>
      <w:r w:rsidRPr="00907677">
        <w:t>readFEdata</w:t>
      </w:r>
      <w:proofErr w:type="spellEnd"/>
      <w:r w:rsidRPr="00907677">
        <w:t xml:space="preserve"> </w:t>
      </w:r>
      <w:r w:rsidR="004568F4">
        <w:t>()</w:t>
      </w:r>
    </w:p>
    <w:p w14:paraId="62CBF873" w14:textId="77777777" w:rsidR="004568F4" w:rsidRDefault="004568F4" w:rsidP="00F53155"/>
    <w:p w14:paraId="46073E40" w14:textId="0CF704B7" w:rsidR="004568F4" w:rsidRDefault="004568F4" w:rsidP="00306DE3">
      <w:pPr>
        <w:rPr>
          <w:b/>
          <w:bCs/>
        </w:rPr>
      </w:pPr>
      <w:r w:rsidRPr="0086609D">
        <w:t xml:space="preserve">        </w:t>
      </w:r>
      <w:r w:rsidR="00317EF6" w:rsidRPr="00317EF6">
        <w:rPr>
          <w:b/>
          <w:bCs/>
        </w:rPr>
        <w:t xml:space="preserve">public int </w:t>
      </w:r>
      <w:proofErr w:type="spellStart"/>
      <w:r w:rsidR="00317EF6" w:rsidRPr="00317EF6">
        <w:rPr>
          <w:bCs/>
        </w:rPr>
        <w:t>readFEdata</w:t>
      </w:r>
      <w:proofErr w:type="spellEnd"/>
      <w:r w:rsidR="00317EF6" w:rsidRPr="00317EF6">
        <w:rPr>
          <w:b/>
          <w:bCs/>
        </w:rPr>
        <w:t>()</w:t>
      </w:r>
    </w:p>
    <w:p w14:paraId="1EEBFB5D" w14:textId="3EFB8852" w:rsidR="004568F4" w:rsidRPr="0086609D" w:rsidRDefault="009534F8" w:rsidP="00F53155">
      <w:r>
        <w:t xml:space="preserve">Creates a temporary instance of the </w:t>
      </w:r>
      <w:proofErr w:type="spellStart"/>
      <w:r>
        <w:t>FEdata</w:t>
      </w:r>
      <w:proofErr w:type="spellEnd"/>
      <w:r>
        <w:t xml:space="preserve"> class</w:t>
      </w:r>
      <w:r w:rsidR="00D708AA">
        <w:t xml:space="preserve"> to read all the valid FE output files of a single design that it can find in the </w:t>
      </w:r>
      <w:proofErr w:type="spellStart"/>
      <w:r w:rsidR="00D708AA" w:rsidRPr="00160962">
        <w:rPr>
          <w:bCs/>
        </w:rPr>
        <w:t>exptdir</w:t>
      </w:r>
      <w:proofErr w:type="spellEnd"/>
      <w:r w:rsidR="004A5263">
        <w:t>.</w:t>
      </w:r>
      <w:r w:rsidR="00D708AA">
        <w:t xml:space="preserve"> It reads </w:t>
      </w:r>
      <w:r w:rsidR="006E2054">
        <w:t>the name fields “</w:t>
      </w:r>
      <w:proofErr w:type="spellStart"/>
      <w:r w:rsidR="006E2054" w:rsidRPr="006E2054">
        <w:t>FeatureNum</w:t>
      </w:r>
      <w:proofErr w:type="spellEnd"/>
      <w:r w:rsidR="006E2054" w:rsidRPr="006E2054">
        <w:t>",</w:t>
      </w:r>
      <w:r w:rsidR="006E2054">
        <w:t xml:space="preserve"> </w:t>
      </w:r>
      <w:r w:rsidR="006E2054" w:rsidRPr="006E2054">
        <w:t>"</w:t>
      </w:r>
      <w:proofErr w:type="spellStart"/>
      <w:r w:rsidR="006E2054" w:rsidRPr="006E2054">
        <w:t>ControlType</w:t>
      </w:r>
      <w:proofErr w:type="spellEnd"/>
      <w:r w:rsidR="006E2054" w:rsidRPr="006E2054">
        <w:t>",</w:t>
      </w:r>
      <w:r w:rsidR="006E2054">
        <w:t xml:space="preserve"> </w:t>
      </w:r>
      <w:r w:rsidR="006E2054" w:rsidRPr="006E2054">
        <w:t>"</w:t>
      </w:r>
      <w:proofErr w:type="spellStart"/>
      <w:r w:rsidR="006E2054" w:rsidRPr="006E2054">
        <w:t>ProbeName</w:t>
      </w:r>
      <w:proofErr w:type="spellEnd"/>
      <w:r w:rsidR="006E2054" w:rsidRPr="006E2054">
        <w:t>",</w:t>
      </w:r>
      <w:r w:rsidR="006E2054">
        <w:t xml:space="preserve"> and </w:t>
      </w:r>
      <w:r w:rsidR="006E2054" w:rsidRPr="006E2054">
        <w:t>"</w:t>
      </w:r>
      <w:proofErr w:type="spellStart"/>
      <w:r w:rsidR="006E2054" w:rsidRPr="006E2054">
        <w:t>SystematicName</w:t>
      </w:r>
      <w:proofErr w:type="spellEnd"/>
      <w:r w:rsidR="006E2054" w:rsidRPr="006E2054">
        <w:t>"</w:t>
      </w:r>
      <w:r w:rsidR="006E2054">
        <w:t xml:space="preserve"> for the design, and the value fields </w:t>
      </w:r>
      <w:r w:rsidR="006E2054" w:rsidRPr="006E2054">
        <w:t>"</w:t>
      </w:r>
      <w:proofErr w:type="spellStart"/>
      <w:r w:rsidR="006E2054" w:rsidRPr="006E2054">
        <w:t>gBGSubSignal</w:t>
      </w:r>
      <w:proofErr w:type="spellEnd"/>
      <w:r w:rsidR="006E2054" w:rsidRPr="006E2054">
        <w:t>",</w:t>
      </w:r>
      <w:r w:rsidR="006E2054">
        <w:t xml:space="preserve"> </w:t>
      </w:r>
      <w:r w:rsidR="006E2054" w:rsidRPr="006E2054">
        <w:t>"</w:t>
      </w:r>
      <w:proofErr w:type="spellStart"/>
      <w:r w:rsidR="006E2054" w:rsidRPr="006E2054">
        <w:t>rBGSubSignal</w:t>
      </w:r>
      <w:proofErr w:type="spellEnd"/>
      <w:r w:rsidR="006E2054" w:rsidRPr="006E2054">
        <w:t>",</w:t>
      </w:r>
      <w:r w:rsidR="006E2054">
        <w:t xml:space="preserve"> </w:t>
      </w:r>
      <w:r w:rsidR="006E2054" w:rsidRPr="006E2054">
        <w:t>"</w:t>
      </w:r>
      <w:proofErr w:type="spellStart"/>
      <w:r w:rsidR="006E2054" w:rsidRPr="006E2054">
        <w:t>LogRatio</w:t>
      </w:r>
      <w:proofErr w:type="spellEnd"/>
      <w:r w:rsidR="006E2054" w:rsidRPr="006E2054">
        <w:t>",</w:t>
      </w:r>
      <w:r w:rsidR="006E2054">
        <w:t xml:space="preserve"> </w:t>
      </w:r>
      <w:r w:rsidR="006E2054" w:rsidRPr="006E2054">
        <w:t>"</w:t>
      </w:r>
      <w:proofErr w:type="spellStart"/>
      <w:r w:rsidR="006E2054" w:rsidRPr="006E2054">
        <w:t>gIsFeatNonUnifOL</w:t>
      </w:r>
      <w:proofErr w:type="spellEnd"/>
      <w:r w:rsidR="006E2054" w:rsidRPr="006E2054">
        <w:t>",</w:t>
      </w:r>
      <w:r w:rsidR="006E2054">
        <w:t xml:space="preserve"> and </w:t>
      </w:r>
      <w:r w:rsidR="006E2054" w:rsidRPr="006E2054">
        <w:t>"</w:t>
      </w:r>
      <w:proofErr w:type="spellStart"/>
      <w:r w:rsidR="006E2054" w:rsidRPr="006E2054">
        <w:t>rIsFeatNonUnifOL</w:t>
      </w:r>
      <w:proofErr w:type="spellEnd"/>
      <w:r w:rsidR="006E2054" w:rsidRPr="006E2054">
        <w:t>"</w:t>
      </w:r>
      <w:r w:rsidR="006E2054">
        <w:t xml:space="preserve"> for each array in the experimental directory.</w:t>
      </w:r>
      <w:r w:rsidR="008C721F">
        <w:t xml:space="preserve"> I</w:t>
      </w:r>
      <w:r w:rsidR="002F76F6">
        <w:t>t</w:t>
      </w:r>
      <w:r w:rsidR="008C721F">
        <w:t xml:space="preserve"> then invokes the </w:t>
      </w:r>
      <w:proofErr w:type="spellStart"/>
      <w:r w:rsidR="008C721F">
        <w:t>FEdata</w:t>
      </w:r>
      <w:proofErr w:type="spellEnd"/>
      <w:r w:rsidR="008C721F">
        <w:t xml:space="preserve"> methods </w:t>
      </w:r>
      <w:proofErr w:type="spellStart"/>
      <w:r w:rsidR="008C721F" w:rsidRPr="008C721F">
        <w:t>filterValues</w:t>
      </w:r>
      <w:proofErr w:type="spellEnd"/>
      <w:r w:rsidR="008C721F">
        <w:t xml:space="preserve">() and </w:t>
      </w:r>
      <w:proofErr w:type="spellStart"/>
      <w:r w:rsidR="008C721F" w:rsidRPr="008C721F">
        <w:t>backgroundNoise</w:t>
      </w:r>
      <w:proofErr w:type="spellEnd"/>
      <w:r w:rsidR="008C721F">
        <w:t xml:space="preserve">() to filter out (i.e. replace with </w:t>
      </w:r>
      <w:proofErr w:type="spellStart"/>
      <w:r w:rsidR="008C721F">
        <w:t>NaN</w:t>
      </w:r>
      <w:proofErr w:type="spellEnd"/>
      <w:r w:rsidR="008C721F">
        <w:t>) the values of features flagged as nonuniformity outliers, and</w:t>
      </w:r>
      <w:r w:rsidR="001C394A">
        <w:t xml:space="preserve"> to</w:t>
      </w:r>
      <w:r w:rsidR="008C721F">
        <w:t xml:space="preserve"> compute the background noise levels for each channel of each array from the </w:t>
      </w:r>
      <w:proofErr w:type="spellStart"/>
      <w:r w:rsidR="008C721F" w:rsidRPr="006E2054">
        <w:t>gBGSubSignal</w:t>
      </w:r>
      <w:proofErr w:type="spellEnd"/>
      <w:r w:rsidR="008C721F">
        <w:t xml:space="preserve"> and </w:t>
      </w:r>
      <w:proofErr w:type="spellStart"/>
      <w:r w:rsidR="008C721F">
        <w:t>r</w:t>
      </w:r>
      <w:r w:rsidR="008C721F" w:rsidRPr="006E2054">
        <w:t>BGSubSignal</w:t>
      </w:r>
      <w:proofErr w:type="spellEnd"/>
      <w:r w:rsidR="008C721F">
        <w:t xml:space="preserve"> values.</w:t>
      </w:r>
      <w:r w:rsidR="009A3D94">
        <w:t xml:space="preserve"> The </w:t>
      </w:r>
      <w:proofErr w:type="spellStart"/>
      <w:r w:rsidR="009A3D94" w:rsidRPr="006E2054">
        <w:t>ControlType</w:t>
      </w:r>
      <w:proofErr w:type="spellEnd"/>
      <w:r w:rsidR="009A3D94">
        <w:t xml:space="preserve">, </w:t>
      </w:r>
      <w:proofErr w:type="spellStart"/>
      <w:r w:rsidR="009A3D94" w:rsidRPr="006E2054">
        <w:t>ProbeName</w:t>
      </w:r>
      <w:proofErr w:type="spellEnd"/>
      <w:r w:rsidR="009A3D94">
        <w:t xml:space="preserve">, and </w:t>
      </w:r>
      <w:proofErr w:type="spellStart"/>
      <w:r w:rsidR="009A3D94" w:rsidRPr="006E2054">
        <w:t>SystematicName</w:t>
      </w:r>
      <w:proofErr w:type="spellEnd"/>
      <w:r w:rsidR="009A3D94">
        <w:t xml:space="preserve"> name fields and the </w:t>
      </w:r>
      <w:proofErr w:type="spellStart"/>
      <w:r w:rsidR="001C394A" w:rsidRPr="006E2054">
        <w:t>LogRatio</w:t>
      </w:r>
      <w:proofErr w:type="spellEnd"/>
      <w:r w:rsidR="001C394A">
        <w:t xml:space="preserve"> value field are stored locally, and the </w:t>
      </w:r>
      <w:proofErr w:type="spellStart"/>
      <w:r w:rsidR="001C394A">
        <w:t>FEdata</w:t>
      </w:r>
      <w:proofErr w:type="spellEnd"/>
      <w:r w:rsidR="001C394A">
        <w:t xml:space="preserve"> instance is discarded.</w:t>
      </w:r>
    </w:p>
    <w:p w14:paraId="4DB482A4" w14:textId="70FAC5D0" w:rsidR="000A3E29" w:rsidRDefault="000A3E29" w:rsidP="000A3E29">
      <w:pPr>
        <w:pStyle w:val="Heading2"/>
        <w:ind w:left="0"/>
      </w:pPr>
      <w:proofErr w:type="spellStart"/>
      <w:r w:rsidRPr="00907677">
        <w:t>read</w:t>
      </w:r>
      <w:r>
        <w:t>HybSummary</w:t>
      </w:r>
      <w:proofErr w:type="spellEnd"/>
      <w:r w:rsidRPr="00907677">
        <w:t xml:space="preserve"> </w:t>
      </w:r>
      <w:r>
        <w:t>()</w:t>
      </w:r>
    </w:p>
    <w:p w14:paraId="5F83B618" w14:textId="77777777" w:rsidR="003A3F52" w:rsidRPr="003A3F52" w:rsidRDefault="003A3F52" w:rsidP="003A3F52"/>
    <w:p w14:paraId="2104BF52" w14:textId="051D75F3" w:rsidR="000A3E29" w:rsidRDefault="000A3E29" w:rsidP="000A3E29">
      <w:pPr>
        <w:rPr>
          <w:b/>
          <w:bCs/>
        </w:rPr>
      </w:pPr>
      <w:r w:rsidRPr="0086609D">
        <w:t xml:space="preserve">        </w:t>
      </w:r>
      <w:r w:rsidRPr="00317EF6">
        <w:rPr>
          <w:b/>
          <w:bCs/>
        </w:rPr>
        <w:t xml:space="preserve">public int </w:t>
      </w:r>
      <w:proofErr w:type="spellStart"/>
      <w:r w:rsidRPr="00317EF6">
        <w:rPr>
          <w:bCs/>
        </w:rPr>
        <w:t>read</w:t>
      </w:r>
      <w:r>
        <w:rPr>
          <w:bCs/>
        </w:rPr>
        <w:t>HybSummary</w:t>
      </w:r>
      <w:proofErr w:type="spellEnd"/>
      <w:r w:rsidRPr="00317EF6">
        <w:rPr>
          <w:b/>
          <w:bCs/>
        </w:rPr>
        <w:t>()</w:t>
      </w:r>
    </w:p>
    <w:p w14:paraId="4E2C7C4A" w14:textId="7A168ED9" w:rsidR="000A3E29" w:rsidRPr="0086609D" w:rsidRDefault="004205D1" w:rsidP="000A3E29">
      <w:r>
        <w:t>Reads</w:t>
      </w:r>
      <w:r w:rsidR="003A3F52">
        <w:t xml:space="preserve"> an association between FE output filenames and user defined sample names.</w:t>
      </w:r>
      <w:r>
        <w:t xml:space="preserve"> </w:t>
      </w:r>
      <w:r w:rsidR="003A3F52">
        <w:t>It looks for a .txt file in the experimental directory containing “</w:t>
      </w:r>
      <w:proofErr w:type="spellStart"/>
      <w:r w:rsidR="003A3F52">
        <w:t>HybSum</w:t>
      </w:r>
      <w:proofErr w:type="spellEnd"/>
      <w:r w:rsidR="003A3F52">
        <w:t xml:space="preserve">” in its name. If such a file exists, </w:t>
      </w:r>
      <w:r w:rsidR="00A46F7E">
        <w:t>it should be a tab delimited txt file containing columns headed “Array” and “Sample”. It may also contain other columns, which are ignored.</w:t>
      </w:r>
      <w:r w:rsidR="00AC39B4">
        <w:t xml:space="preserve"> </w:t>
      </w:r>
      <w:r w:rsidR="00E52E4D">
        <w:t xml:space="preserve">This method looks at each valid </w:t>
      </w:r>
      <w:r w:rsidR="00E52E4D">
        <w:t>FE output file</w:t>
      </w:r>
      <w:r w:rsidR="00E52E4D">
        <w:t xml:space="preserve"> that was read by </w:t>
      </w:r>
      <w:proofErr w:type="spellStart"/>
      <w:r w:rsidR="00E52E4D" w:rsidRPr="00317EF6">
        <w:rPr>
          <w:bCs/>
        </w:rPr>
        <w:t>readFEdata</w:t>
      </w:r>
      <w:proofErr w:type="spellEnd"/>
      <w:r w:rsidR="00E52E4D">
        <w:rPr>
          <w:bCs/>
        </w:rPr>
        <w:t xml:space="preserve">() and </w:t>
      </w:r>
      <w:r w:rsidR="00E52E4D">
        <w:rPr>
          <w:bCs/>
        </w:rPr>
        <w:lastRenderedPageBreak/>
        <w:t xml:space="preserve">reduces its file name to a canonical </w:t>
      </w:r>
      <w:proofErr w:type="spellStart"/>
      <w:r w:rsidR="00E52E4D">
        <w:rPr>
          <w:bCs/>
        </w:rPr>
        <w:t>arrayName</w:t>
      </w:r>
      <w:proofErr w:type="spellEnd"/>
      <w:r w:rsidR="00E52E4D">
        <w:rPr>
          <w:bCs/>
        </w:rPr>
        <w:t>.</w:t>
      </w:r>
      <w:r w:rsidR="005770FE">
        <w:rPr>
          <w:bCs/>
        </w:rPr>
        <w:t xml:space="preserve"> This name consists of an “S”, followed by the last five digits of the slide barcode</w:t>
      </w:r>
      <w:bookmarkStart w:id="0" w:name="_GoBack"/>
      <w:bookmarkEnd w:id="0"/>
      <w:r w:rsidR="005770FE">
        <w:rPr>
          <w:bCs/>
        </w:rPr>
        <w:t xml:space="preserve">, followed by the subarray designation, if any. For example, Feature Extraction produces an output file named </w:t>
      </w:r>
      <w:r w:rsidR="005770FE" w:rsidRPr="005770FE">
        <w:rPr>
          <w:bCs/>
        </w:rPr>
        <w:t>SG19018632_258579010004_4_17_19_S001_CGH_1201_Sep17_2_1</w:t>
      </w:r>
      <w:r w:rsidR="005770FE">
        <w:rPr>
          <w:bCs/>
        </w:rPr>
        <w:t xml:space="preserve">.txt from subarray 2_1 of slide </w:t>
      </w:r>
      <w:r w:rsidR="005770FE" w:rsidRPr="005770FE">
        <w:rPr>
          <w:bCs/>
        </w:rPr>
        <w:t>258579010004</w:t>
      </w:r>
      <w:r w:rsidR="005770FE">
        <w:rPr>
          <w:bCs/>
        </w:rPr>
        <w:t>.</w:t>
      </w:r>
      <w:r w:rsidR="004B4CD9">
        <w:rPr>
          <w:bCs/>
        </w:rPr>
        <w:t xml:space="preserve"> The </w:t>
      </w:r>
      <w:proofErr w:type="spellStart"/>
      <w:r w:rsidR="004B4CD9">
        <w:rPr>
          <w:bCs/>
        </w:rPr>
        <w:t>arrayName</w:t>
      </w:r>
      <w:proofErr w:type="spellEnd"/>
      <w:r w:rsidR="004B4CD9">
        <w:rPr>
          <w:bCs/>
        </w:rPr>
        <w:t xml:space="preserve"> of this sample will be S10004_2_1</w:t>
      </w:r>
      <w:r w:rsidR="00F91257">
        <w:rPr>
          <w:bCs/>
        </w:rPr>
        <w:t xml:space="preserve">. For each such FE file, </w:t>
      </w:r>
      <w:proofErr w:type="spellStart"/>
      <w:r w:rsidR="00F91257" w:rsidRPr="00317EF6">
        <w:rPr>
          <w:bCs/>
        </w:rPr>
        <w:t>read</w:t>
      </w:r>
      <w:r w:rsidR="00F91257">
        <w:rPr>
          <w:bCs/>
        </w:rPr>
        <w:t>HybSummary</w:t>
      </w:r>
      <w:proofErr w:type="spellEnd"/>
      <w:r w:rsidR="00F91257">
        <w:rPr>
          <w:bCs/>
        </w:rPr>
        <w:t xml:space="preserve">() searches the Array field of the </w:t>
      </w:r>
      <w:proofErr w:type="spellStart"/>
      <w:r w:rsidR="00F91257">
        <w:rPr>
          <w:bCs/>
        </w:rPr>
        <w:t>HybSummary</w:t>
      </w:r>
      <w:proofErr w:type="spellEnd"/>
      <w:r w:rsidR="00F91257">
        <w:rPr>
          <w:bCs/>
        </w:rPr>
        <w:t xml:space="preserve"> file for an exact match to this </w:t>
      </w:r>
      <w:proofErr w:type="spellStart"/>
      <w:r w:rsidR="00F91257">
        <w:rPr>
          <w:bCs/>
        </w:rPr>
        <w:t>arrayName</w:t>
      </w:r>
      <w:proofErr w:type="spellEnd"/>
      <w:r w:rsidR="00F91257">
        <w:rPr>
          <w:bCs/>
        </w:rPr>
        <w:t xml:space="preserve">. If it finds one, it </w:t>
      </w:r>
      <w:r w:rsidR="007E4439">
        <w:rPr>
          <w:bCs/>
        </w:rPr>
        <w:t xml:space="preserve">assigns that sample a </w:t>
      </w:r>
      <w:proofErr w:type="spellStart"/>
      <w:r w:rsidR="007E4439">
        <w:rPr>
          <w:bCs/>
        </w:rPr>
        <w:t>sampleName</w:t>
      </w:r>
      <w:proofErr w:type="spellEnd"/>
      <w:r w:rsidR="007E4439">
        <w:rPr>
          <w:bCs/>
        </w:rPr>
        <w:t xml:space="preserve"> from the corresponding Sample column. If it doesn’t find one, the sample is named with the </w:t>
      </w:r>
      <w:proofErr w:type="spellStart"/>
      <w:r w:rsidR="007E4439">
        <w:rPr>
          <w:bCs/>
        </w:rPr>
        <w:t>arrayName</w:t>
      </w:r>
      <w:proofErr w:type="spellEnd"/>
      <w:r w:rsidR="007E4439">
        <w:rPr>
          <w:bCs/>
        </w:rPr>
        <w:t>.</w:t>
      </w:r>
    </w:p>
    <w:p w14:paraId="0F03B222" w14:textId="156A6A1E" w:rsidR="00FA2897" w:rsidRPr="000A3DDC" w:rsidRDefault="00907677" w:rsidP="00F53155">
      <w:pPr>
        <w:pStyle w:val="Heading2"/>
        <w:ind w:left="0"/>
      </w:pPr>
      <w:proofErr w:type="spellStart"/>
      <w:r w:rsidRPr="00907677">
        <w:t>combineFeaturesToProbes</w:t>
      </w:r>
      <w:proofErr w:type="spellEnd"/>
      <w:r w:rsidRPr="00907677">
        <w:t xml:space="preserve"> </w:t>
      </w:r>
      <w:r w:rsidR="00FA2897" w:rsidRPr="000A3DDC">
        <w:t>()</w:t>
      </w:r>
    </w:p>
    <w:p w14:paraId="1BD58DE2" w14:textId="77777777" w:rsidR="00FA2897" w:rsidRDefault="00FA2897" w:rsidP="00F53155"/>
    <w:p w14:paraId="031809F4" w14:textId="11D73FD2" w:rsidR="003C7104" w:rsidRDefault="00F11291" w:rsidP="00F53155">
      <w:pPr>
        <w:spacing w:after="0" w:line="240" w:lineRule="auto"/>
        <w:rPr>
          <w:b/>
          <w:bCs/>
        </w:rPr>
      </w:pPr>
      <w:r w:rsidRPr="00F11291">
        <w:t xml:space="preserve">    </w:t>
      </w:r>
      <w:r w:rsidR="003C7104" w:rsidRPr="003C7104">
        <w:t xml:space="preserve">    </w:t>
      </w:r>
      <w:r w:rsidR="00D019D9" w:rsidRPr="00D019D9">
        <w:rPr>
          <w:b/>
          <w:bCs/>
        </w:rPr>
        <w:t xml:space="preserve">public void </w:t>
      </w:r>
      <w:proofErr w:type="spellStart"/>
      <w:r w:rsidR="00D019D9" w:rsidRPr="00D019D9">
        <w:rPr>
          <w:bCs/>
        </w:rPr>
        <w:t>combineFeaturesToProbes</w:t>
      </w:r>
      <w:proofErr w:type="spellEnd"/>
      <w:r w:rsidR="00D019D9" w:rsidRPr="00D019D9">
        <w:rPr>
          <w:b/>
          <w:bCs/>
        </w:rPr>
        <w:t>()</w:t>
      </w:r>
    </w:p>
    <w:p w14:paraId="09B80A93" w14:textId="77777777" w:rsidR="00D019D9" w:rsidRDefault="00D019D9" w:rsidP="00F53155">
      <w:pPr>
        <w:spacing w:after="0" w:line="240" w:lineRule="auto"/>
      </w:pPr>
    </w:p>
    <w:p w14:paraId="7BFDDCD5" w14:textId="54FD27AC" w:rsidR="00227002" w:rsidRDefault="00126C5F" w:rsidP="00F53155">
      <w:pPr>
        <w:spacing w:after="0" w:line="240" w:lineRule="auto"/>
      </w:pPr>
      <w:r>
        <w:t>The array design contains negative and positive control features, CGH back</w:t>
      </w:r>
      <w:r w:rsidR="008E6122">
        <w:t>bone</w:t>
      </w:r>
      <w:r>
        <w:t xml:space="preserve"> probes, ATAC control probes, and ATAC differential probes.</w:t>
      </w:r>
      <w:r w:rsidR="007653C3">
        <w:t xml:space="preserve"> </w:t>
      </w:r>
      <w:r w:rsidR="00D754A3">
        <w:t xml:space="preserve">See the Array Design section below for details. </w:t>
      </w:r>
      <w:r w:rsidR="00050252">
        <w:t xml:space="preserve">Many of the CGH probes and all of the ATAC probes have multiple replicate features on the array. </w:t>
      </w:r>
      <w:r w:rsidR="00CE0A9D">
        <w:t xml:space="preserve">This method computes the median log ratio of all replicated features that pass the nonoutlier filter, to </w:t>
      </w:r>
      <w:r w:rsidR="00C70478">
        <w:t xml:space="preserve">generate a single log ratio value for each of the </w:t>
      </w:r>
      <w:r w:rsidR="00A62381" w:rsidRPr="00D754A3">
        <w:t xml:space="preserve">7405 CGH backbone probes, </w:t>
      </w:r>
      <w:r w:rsidR="00A62381">
        <w:t xml:space="preserve">the </w:t>
      </w:r>
      <w:r w:rsidR="00A62381" w:rsidRPr="00E75AD8">
        <w:t xml:space="preserve">1544 </w:t>
      </w:r>
      <w:r w:rsidR="00A62381">
        <w:t xml:space="preserve">ATAC </w:t>
      </w:r>
      <w:r w:rsidR="00A62381" w:rsidRPr="00E75AD8">
        <w:t xml:space="preserve">control </w:t>
      </w:r>
      <w:r w:rsidR="00A62381">
        <w:t xml:space="preserve">probes, and the </w:t>
      </w:r>
      <w:r w:rsidR="00A62381" w:rsidRPr="00E75AD8">
        <w:t xml:space="preserve">5210 </w:t>
      </w:r>
      <w:r w:rsidR="00A62381">
        <w:t>ATAC differential probes.</w:t>
      </w:r>
    </w:p>
    <w:p w14:paraId="7FE2B3F0" w14:textId="1EF469C8" w:rsidR="00AB1E12" w:rsidRPr="000A3DDC" w:rsidRDefault="001261F7" w:rsidP="00F53155">
      <w:pPr>
        <w:pStyle w:val="Heading2"/>
        <w:ind w:left="0"/>
      </w:pPr>
      <w:proofErr w:type="spellStart"/>
      <w:r w:rsidRPr="001261F7">
        <w:t>readProbeRegions</w:t>
      </w:r>
      <w:proofErr w:type="spellEnd"/>
      <w:r w:rsidRPr="001261F7">
        <w:t xml:space="preserve"> </w:t>
      </w:r>
      <w:r w:rsidR="00AB1E12" w:rsidRPr="000A3DDC">
        <w:t>()</w:t>
      </w:r>
    </w:p>
    <w:p w14:paraId="371DF5EC" w14:textId="77777777" w:rsidR="00AB1E12" w:rsidRDefault="00AB1E12" w:rsidP="00F53155"/>
    <w:p w14:paraId="137042C4" w14:textId="3129F3D8" w:rsidR="00AB1E12" w:rsidRPr="003C7104" w:rsidRDefault="00AB1E12" w:rsidP="00F53155">
      <w:pPr>
        <w:spacing w:after="0" w:line="240" w:lineRule="auto"/>
      </w:pPr>
      <w:r w:rsidRPr="00F11291">
        <w:t xml:space="preserve">    </w:t>
      </w:r>
      <w:r w:rsidRPr="003C7104">
        <w:t xml:space="preserve">    </w:t>
      </w:r>
      <w:r w:rsidR="001261F7" w:rsidRPr="001261F7">
        <w:rPr>
          <w:b/>
          <w:bCs/>
        </w:rPr>
        <w:t xml:space="preserve">public int[] </w:t>
      </w:r>
      <w:proofErr w:type="spellStart"/>
      <w:r w:rsidR="001261F7" w:rsidRPr="001261F7">
        <w:rPr>
          <w:bCs/>
        </w:rPr>
        <w:t>readProbeRegions</w:t>
      </w:r>
      <w:proofErr w:type="spellEnd"/>
      <w:r w:rsidR="001261F7" w:rsidRPr="001261F7">
        <w:rPr>
          <w:b/>
          <w:bCs/>
        </w:rPr>
        <w:t xml:space="preserve">(String </w:t>
      </w:r>
      <w:proofErr w:type="spellStart"/>
      <w:r w:rsidR="001261F7" w:rsidRPr="001261F7">
        <w:rPr>
          <w:bCs/>
        </w:rPr>
        <w:t>designpath</w:t>
      </w:r>
      <w:proofErr w:type="spellEnd"/>
      <w:r w:rsidR="001261F7" w:rsidRPr="001261F7">
        <w:rPr>
          <w:b/>
          <w:bCs/>
        </w:rPr>
        <w:t>)</w:t>
      </w:r>
    </w:p>
    <w:p w14:paraId="54BE1F7C" w14:textId="77777777" w:rsidR="00AB1E12" w:rsidRDefault="00AB1E12" w:rsidP="00F53155">
      <w:pPr>
        <w:spacing w:after="0" w:line="240" w:lineRule="auto"/>
      </w:pPr>
    </w:p>
    <w:p w14:paraId="1CCAC06D" w14:textId="750C91B7" w:rsidR="00AB1E12" w:rsidRDefault="007A5A1E" w:rsidP="00F53155">
      <w:pPr>
        <w:spacing w:after="0" w:line="240" w:lineRule="auto"/>
      </w:pPr>
      <w:r>
        <w:t>Dhara et al identified</w:t>
      </w:r>
      <w:r w:rsidR="009425D0">
        <w:t xml:space="preserve"> </w:t>
      </w:r>
      <w:r>
        <w:t>336 ATAC control regions, which are expected to be accessible in all patients, and 1092 differential regions, wh</w:t>
      </w:r>
      <w:r w:rsidR="00886DC2">
        <w:t xml:space="preserve">ose varying accessibility from patient to patient constitutes the </w:t>
      </w:r>
      <w:r w:rsidR="00CB6AF1">
        <w:t xml:space="preserve">diagnostic signal. These regions are defined by their genomic coordinates in the files </w:t>
      </w:r>
      <w:r w:rsidR="00CB6AF1" w:rsidRPr="007A5A1E">
        <w:t>ATACctrlRegions.txt</w:t>
      </w:r>
      <w:r w:rsidR="00CB6AF1">
        <w:t xml:space="preserve"> and </w:t>
      </w:r>
      <w:r w:rsidR="00CB6AF1" w:rsidRPr="007A5A1E">
        <w:t>ATAC</w:t>
      </w:r>
      <w:r w:rsidR="00CB6AF1">
        <w:t>diff</w:t>
      </w:r>
      <w:r w:rsidR="00CB6AF1" w:rsidRPr="007A5A1E">
        <w:t>Regions.txt</w:t>
      </w:r>
      <w:r w:rsidR="00CB6AF1">
        <w:t xml:space="preserve">. </w:t>
      </w:r>
      <w:r w:rsidR="00417A64">
        <w:t xml:space="preserve">These files must exist in the directory pointed to by </w:t>
      </w:r>
      <w:proofErr w:type="spellStart"/>
      <w:r w:rsidR="00417A64">
        <w:t>designpath</w:t>
      </w:r>
      <w:proofErr w:type="spellEnd"/>
      <w:r w:rsidR="00417A64">
        <w:t>.</w:t>
      </w:r>
    </w:p>
    <w:p w14:paraId="7E3F0A18" w14:textId="799477F0" w:rsidR="00445A00" w:rsidRDefault="00445A00" w:rsidP="00F53155">
      <w:pPr>
        <w:spacing w:after="0" w:line="240" w:lineRule="auto"/>
      </w:pPr>
      <w:r>
        <w:t>The ATAC diff</w:t>
      </w:r>
      <w:r w:rsidR="00BB5ACF">
        <w:t>erential</w:t>
      </w:r>
      <w:r>
        <w:t xml:space="preserve"> regions are further characterized as “red” or “blue”, depending on whether their average accessibility tends to increase or decrease in the clinically relevant subset of samples.</w:t>
      </w:r>
    </w:p>
    <w:p w14:paraId="078A4749" w14:textId="102F15AD" w:rsidR="00A17747" w:rsidRDefault="00A17747" w:rsidP="00F53155">
      <w:pPr>
        <w:spacing w:after="0" w:line="240" w:lineRule="auto"/>
      </w:pPr>
      <w:r>
        <w:t xml:space="preserve">This method reads these two files, and assigns each non-control probe to a category based on its genomic coordinates. </w:t>
      </w:r>
      <w:r w:rsidR="0088113D">
        <w:t>Probes which overlap ATAC regions are assigned to those regions. Probes that don’t overlap any regions are classified as CGH back</w:t>
      </w:r>
      <w:r w:rsidR="0094011D">
        <w:t>bone</w:t>
      </w:r>
      <w:r w:rsidR="0088113D">
        <w:t xml:space="preserve"> probes. </w:t>
      </w:r>
    </w:p>
    <w:p w14:paraId="47E8CEB4" w14:textId="06CEE541" w:rsidR="008C2E88" w:rsidRDefault="008C2E88" w:rsidP="008C2E88">
      <w:pPr>
        <w:spacing w:after="0" w:line="240" w:lineRule="auto"/>
      </w:pPr>
      <w:r>
        <w:t xml:space="preserve">Agilent’s </w:t>
      </w:r>
      <w:proofErr w:type="spellStart"/>
      <w:r>
        <w:t>SureCall</w:t>
      </w:r>
      <w:proofErr w:type="spellEnd"/>
      <w:r>
        <w:t xml:space="preserve"> probe design software was unable to find any probes with sufficiently high quality scores in some of these regions, whereas many probes were found in other regions. A total of </w:t>
      </w:r>
      <w:r w:rsidR="00C94532">
        <w:t>312/336</w:t>
      </w:r>
      <w:r w:rsidR="00225286">
        <w:t xml:space="preserve"> ATAC control regions, </w:t>
      </w:r>
      <w:r w:rsidR="00C94532">
        <w:t>244/370</w:t>
      </w:r>
      <w:r w:rsidR="00225286">
        <w:t xml:space="preserve"> red differential regions, and </w:t>
      </w:r>
      <w:r w:rsidR="00C94532">
        <w:t>688/722</w:t>
      </w:r>
      <w:r w:rsidR="00225286">
        <w:t xml:space="preserve"> blue differential regions had at least one probe.</w:t>
      </w:r>
    </w:p>
    <w:p w14:paraId="2944CA0D" w14:textId="76D54A7A" w:rsidR="00AB1E12" w:rsidRPr="000A3DDC" w:rsidRDefault="002938F0" w:rsidP="00F53155">
      <w:pPr>
        <w:pStyle w:val="Heading2"/>
        <w:ind w:left="0"/>
      </w:pPr>
      <w:proofErr w:type="spellStart"/>
      <w:r w:rsidRPr="002938F0">
        <w:t>centerLog</w:t>
      </w:r>
      <w:r w:rsidR="00D37FA3">
        <w:t>r</w:t>
      </w:r>
      <w:r w:rsidRPr="002938F0">
        <w:t>atios</w:t>
      </w:r>
      <w:proofErr w:type="spellEnd"/>
      <w:r>
        <w:t xml:space="preserve"> </w:t>
      </w:r>
      <w:r w:rsidR="00AB1E12" w:rsidRPr="000A3DDC">
        <w:t>()</w:t>
      </w:r>
    </w:p>
    <w:p w14:paraId="4F080DE4" w14:textId="77777777" w:rsidR="00AB1E12" w:rsidRDefault="00AB1E12" w:rsidP="00F53155"/>
    <w:p w14:paraId="0309D460" w14:textId="6F971B3C" w:rsidR="00AB1E12" w:rsidRPr="003C7104" w:rsidRDefault="00AB1E12" w:rsidP="00F53155">
      <w:pPr>
        <w:spacing w:after="0" w:line="240" w:lineRule="auto"/>
      </w:pPr>
      <w:r w:rsidRPr="00F11291">
        <w:t xml:space="preserve">    </w:t>
      </w:r>
      <w:r w:rsidRPr="003C7104">
        <w:t xml:space="preserve">    </w:t>
      </w:r>
      <w:r w:rsidR="00B758CD" w:rsidRPr="00B758CD">
        <w:rPr>
          <w:b/>
          <w:bCs/>
        </w:rPr>
        <w:t xml:space="preserve">public void </w:t>
      </w:r>
      <w:proofErr w:type="spellStart"/>
      <w:r w:rsidR="00B758CD" w:rsidRPr="00B758CD">
        <w:rPr>
          <w:bCs/>
        </w:rPr>
        <w:t>centerLog</w:t>
      </w:r>
      <w:r w:rsidR="00D37FA3">
        <w:rPr>
          <w:bCs/>
        </w:rPr>
        <w:t>r</w:t>
      </w:r>
      <w:r w:rsidR="00B758CD" w:rsidRPr="00B758CD">
        <w:rPr>
          <w:bCs/>
        </w:rPr>
        <w:t>atios</w:t>
      </w:r>
      <w:proofErr w:type="spellEnd"/>
      <w:r w:rsidR="00B758CD" w:rsidRPr="00B758CD">
        <w:rPr>
          <w:b/>
          <w:bCs/>
        </w:rPr>
        <w:t>()</w:t>
      </w:r>
    </w:p>
    <w:p w14:paraId="2B25139C" w14:textId="77777777" w:rsidR="00AB1E12" w:rsidRDefault="00AB1E12" w:rsidP="00F53155">
      <w:pPr>
        <w:spacing w:after="0" w:line="240" w:lineRule="auto"/>
      </w:pPr>
    </w:p>
    <w:p w14:paraId="486E0C02" w14:textId="0F4CE7D3" w:rsidR="00AB1E12" w:rsidRDefault="00190341" w:rsidP="00F53155">
      <w:pPr>
        <w:spacing w:after="0" w:line="240" w:lineRule="auto"/>
      </w:pPr>
      <w:r>
        <w:t>The log ratios are</w:t>
      </w:r>
      <w:r w:rsidR="00AB1E12">
        <w:t xml:space="preserve"> </w:t>
      </w:r>
      <w:r>
        <w:t xml:space="preserve">normalized by setting the median log ratio of the CGH </w:t>
      </w:r>
      <w:r w:rsidR="0094011D">
        <w:t xml:space="preserve">backbone probes to zero. This requires a previous call to </w:t>
      </w:r>
      <w:proofErr w:type="spellStart"/>
      <w:r w:rsidR="0094011D" w:rsidRPr="001261F7">
        <w:rPr>
          <w:bCs/>
        </w:rPr>
        <w:t>readProbeRegions</w:t>
      </w:r>
      <w:proofErr w:type="spellEnd"/>
      <w:r w:rsidR="0094011D">
        <w:rPr>
          <w:bCs/>
        </w:rPr>
        <w:t>() to identify which probes those are.</w:t>
      </w:r>
    </w:p>
    <w:p w14:paraId="5D3C8DFC" w14:textId="24ACB6A0" w:rsidR="00AB1E12" w:rsidRPr="000A3DDC" w:rsidRDefault="00456246" w:rsidP="00F53155">
      <w:pPr>
        <w:pStyle w:val="Heading2"/>
        <w:ind w:left="0"/>
      </w:pPr>
      <w:proofErr w:type="spellStart"/>
      <w:r w:rsidRPr="00456246">
        <w:lastRenderedPageBreak/>
        <w:t>combineProbesInRegions</w:t>
      </w:r>
      <w:proofErr w:type="spellEnd"/>
      <w:r w:rsidRPr="00456246">
        <w:t xml:space="preserve"> </w:t>
      </w:r>
      <w:r w:rsidR="00AB1E12" w:rsidRPr="000A3DDC">
        <w:t>()</w:t>
      </w:r>
    </w:p>
    <w:p w14:paraId="771FECA3" w14:textId="77777777" w:rsidR="00AB1E12" w:rsidRDefault="00AB1E12" w:rsidP="00F53155"/>
    <w:p w14:paraId="75EDFBBD" w14:textId="3981EFCF" w:rsidR="00456246" w:rsidRDefault="00AB1E12" w:rsidP="00F53155">
      <w:pPr>
        <w:spacing w:after="0" w:line="240" w:lineRule="auto"/>
        <w:rPr>
          <w:b/>
          <w:bCs/>
        </w:rPr>
      </w:pPr>
      <w:r w:rsidRPr="00F11291">
        <w:t xml:space="preserve">    </w:t>
      </w:r>
      <w:r w:rsidRPr="003C7104">
        <w:t xml:space="preserve">    </w:t>
      </w:r>
      <w:r w:rsidR="00456246" w:rsidRPr="00456246">
        <w:rPr>
          <w:b/>
          <w:bCs/>
        </w:rPr>
        <w:t xml:space="preserve">public void </w:t>
      </w:r>
      <w:proofErr w:type="spellStart"/>
      <w:r w:rsidR="00456246" w:rsidRPr="00456246">
        <w:rPr>
          <w:bCs/>
        </w:rPr>
        <w:t>combineProbesInRegions</w:t>
      </w:r>
      <w:proofErr w:type="spellEnd"/>
      <w:r w:rsidR="00456246" w:rsidRPr="00456246">
        <w:rPr>
          <w:b/>
          <w:bCs/>
        </w:rPr>
        <w:t>()</w:t>
      </w:r>
    </w:p>
    <w:p w14:paraId="48D9B808" w14:textId="77777777" w:rsidR="00456246" w:rsidRDefault="00456246" w:rsidP="00F53155">
      <w:pPr>
        <w:spacing w:after="0" w:line="240" w:lineRule="auto"/>
      </w:pPr>
    </w:p>
    <w:p w14:paraId="346EAFA1" w14:textId="6AFC1D5B" w:rsidR="00AB1E12" w:rsidRDefault="004E3CE6" w:rsidP="00F53155">
      <w:pPr>
        <w:spacing w:after="0" w:line="240" w:lineRule="auto"/>
      </w:pPr>
      <w:r>
        <w:t xml:space="preserve">Each of the ATAC regions </w:t>
      </w:r>
      <w:r w:rsidR="001674BE">
        <w:t xml:space="preserve">is targeted by a number of probes, sometimes zero. This method </w:t>
      </w:r>
      <w:r w:rsidR="00C91068">
        <w:t>computes</w:t>
      </w:r>
      <w:r w:rsidR="001674BE">
        <w:t xml:space="preserve"> </w:t>
      </w:r>
      <w:r w:rsidR="00C91068">
        <w:t xml:space="preserve">the log ratio of each region as </w:t>
      </w:r>
      <w:r w:rsidR="001674BE">
        <w:t xml:space="preserve">the median of probes targeting </w:t>
      </w:r>
      <w:r w:rsidR="00C91068">
        <w:t>the</w:t>
      </w:r>
      <w:r w:rsidR="001674BE">
        <w:t xml:space="preserve"> region. It</w:t>
      </w:r>
      <w:r w:rsidR="00200980">
        <w:t xml:space="preserve"> assumes a previous call to </w:t>
      </w:r>
      <w:proofErr w:type="spellStart"/>
      <w:r w:rsidR="00200980" w:rsidRPr="00B758CD">
        <w:rPr>
          <w:bCs/>
        </w:rPr>
        <w:t>centerLog</w:t>
      </w:r>
      <w:r w:rsidR="00200980">
        <w:rPr>
          <w:bCs/>
        </w:rPr>
        <w:t>r</w:t>
      </w:r>
      <w:r w:rsidR="00200980" w:rsidRPr="00B758CD">
        <w:rPr>
          <w:bCs/>
        </w:rPr>
        <w:t>atios</w:t>
      </w:r>
      <w:proofErr w:type="spellEnd"/>
      <w:r w:rsidR="00200980">
        <w:rPr>
          <w:bCs/>
        </w:rPr>
        <w:t xml:space="preserve"> ()</w:t>
      </w:r>
      <w:r w:rsidR="00200980">
        <w:t>.</w:t>
      </w:r>
    </w:p>
    <w:p w14:paraId="15547102" w14:textId="1170E25C" w:rsidR="00AB1E12" w:rsidRPr="000A3DDC" w:rsidRDefault="009C7933" w:rsidP="00F53155">
      <w:pPr>
        <w:pStyle w:val="Heading2"/>
        <w:ind w:left="0"/>
      </w:pPr>
      <w:proofErr w:type="spellStart"/>
      <w:r w:rsidRPr="009C7933">
        <w:t>writeRegions</w:t>
      </w:r>
      <w:proofErr w:type="spellEnd"/>
      <w:r w:rsidRPr="009C7933">
        <w:t xml:space="preserve"> </w:t>
      </w:r>
      <w:r w:rsidR="00AB1E12" w:rsidRPr="000A3DDC">
        <w:t>()</w:t>
      </w:r>
    </w:p>
    <w:p w14:paraId="63801212" w14:textId="77777777" w:rsidR="00AB1E12" w:rsidRDefault="00AB1E12" w:rsidP="00F53155"/>
    <w:p w14:paraId="43422D28" w14:textId="5DA13B44" w:rsidR="00AB1E12" w:rsidRPr="003C7104" w:rsidRDefault="00AB1E12" w:rsidP="00F53155">
      <w:pPr>
        <w:spacing w:after="0" w:line="240" w:lineRule="auto"/>
      </w:pPr>
      <w:r w:rsidRPr="00F11291">
        <w:t xml:space="preserve">    </w:t>
      </w:r>
      <w:r w:rsidRPr="003C7104">
        <w:t xml:space="preserve">    </w:t>
      </w:r>
      <w:r w:rsidR="009C7933" w:rsidRPr="009C7933">
        <w:rPr>
          <w:b/>
          <w:bCs/>
        </w:rPr>
        <w:t xml:space="preserve">public void </w:t>
      </w:r>
      <w:proofErr w:type="spellStart"/>
      <w:r w:rsidR="009C7933" w:rsidRPr="009C7933">
        <w:rPr>
          <w:bCs/>
        </w:rPr>
        <w:t>writeRegions</w:t>
      </w:r>
      <w:proofErr w:type="spellEnd"/>
      <w:r w:rsidR="009C7933" w:rsidRPr="009C7933">
        <w:rPr>
          <w:b/>
          <w:bCs/>
        </w:rPr>
        <w:t xml:space="preserve">(String </w:t>
      </w:r>
      <w:proofErr w:type="spellStart"/>
      <w:r w:rsidR="009C7933" w:rsidRPr="009C7933">
        <w:rPr>
          <w:bCs/>
        </w:rPr>
        <w:t>outfile</w:t>
      </w:r>
      <w:proofErr w:type="spellEnd"/>
      <w:r w:rsidR="009C7933" w:rsidRPr="009C7933">
        <w:rPr>
          <w:b/>
          <w:bCs/>
        </w:rPr>
        <w:t>)</w:t>
      </w:r>
    </w:p>
    <w:p w14:paraId="5CCB3198" w14:textId="77777777" w:rsidR="00AB1E12" w:rsidRDefault="00AB1E12" w:rsidP="00F53155">
      <w:pPr>
        <w:spacing w:after="0" w:line="240" w:lineRule="auto"/>
      </w:pPr>
    </w:p>
    <w:p w14:paraId="7A3A7ACB" w14:textId="3BD8828E" w:rsidR="00AB1E12" w:rsidRDefault="004D2CB7" w:rsidP="00F53155">
      <w:pPr>
        <w:spacing w:after="0" w:line="240" w:lineRule="auto"/>
      </w:pPr>
      <w:r>
        <w:t xml:space="preserve">Writes the log ratios of each region in each sample to a file in the experimental directory called </w:t>
      </w:r>
      <w:r w:rsidRPr="004D2CB7">
        <w:t>"ATACregionLRs.txt"</w:t>
      </w:r>
      <w:r>
        <w:t>. The differential regions are written first, then the ATAC control regions, and finally the log rations of the CGH backbone probes, for comparison.</w:t>
      </w:r>
      <w:r w:rsidR="00AB1E12">
        <w:t xml:space="preserve"> </w:t>
      </w:r>
    </w:p>
    <w:p w14:paraId="3085B123" w14:textId="3BF0B085" w:rsidR="00AB1E12" w:rsidRPr="000A3DDC" w:rsidRDefault="00A43CE8" w:rsidP="00F53155">
      <w:pPr>
        <w:pStyle w:val="Heading2"/>
        <w:ind w:left="0"/>
      </w:pPr>
      <w:proofErr w:type="spellStart"/>
      <w:r w:rsidRPr="00A43CE8">
        <w:t>isSampleRed</w:t>
      </w:r>
      <w:proofErr w:type="spellEnd"/>
      <w:r w:rsidRPr="00A43CE8">
        <w:t xml:space="preserve"> </w:t>
      </w:r>
      <w:r w:rsidR="00AB1E12" w:rsidRPr="000A3DDC">
        <w:t>()</w:t>
      </w:r>
    </w:p>
    <w:p w14:paraId="13E95B11" w14:textId="77777777" w:rsidR="00AB1E12" w:rsidRDefault="00AB1E12" w:rsidP="00F53155"/>
    <w:p w14:paraId="7A575C5C" w14:textId="57A7A126" w:rsidR="00AB1E12" w:rsidRPr="003C7104" w:rsidRDefault="00AB1E12" w:rsidP="00F53155">
      <w:pPr>
        <w:spacing w:after="0" w:line="240" w:lineRule="auto"/>
      </w:pPr>
      <w:r w:rsidRPr="00F11291">
        <w:t xml:space="preserve">    </w:t>
      </w:r>
      <w:r w:rsidRPr="003C7104">
        <w:t xml:space="preserve">    </w:t>
      </w:r>
      <w:r w:rsidR="00A43CE8" w:rsidRPr="00A43CE8">
        <w:rPr>
          <w:b/>
          <w:bCs/>
        </w:rPr>
        <w:t xml:space="preserve">public boolean[] </w:t>
      </w:r>
      <w:proofErr w:type="spellStart"/>
      <w:r w:rsidR="00A43CE8" w:rsidRPr="00A43CE8">
        <w:rPr>
          <w:bCs/>
        </w:rPr>
        <w:t>isSampleRed</w:t>
      </w:r>
      <w:proofErr w:type="spellEnd"/>
      <w:r w:rsidR="00A43CE8" w:rsidRPr="00A43CE8">
        <w:rPr>
          <w:b/>
          <w:bCs/>
        </w:rPr>
        <w:t>()</w:t>
      </w:r>
    </w:p>
    <w:p w14:paraId="047F36AD" w14:textId="77777777" w:rsidR="00AB1E12" w:rsidRDefault="00AB1E12" w:rsidP="00F53155">
      <w:pPr>
        <w:spacing w:after="0" w:line="240" w:lineRule="auto"/>
      </w:pPr>
    </w:p>
    <w:p w14:paraId="1EF8D82F" w14:textId="686174DD" w:rsidR="00CF5736" w:rsidRDefault="005C1874" w:rsidP="00CF5736">
      <w:pPr>
        <w:spacing w:after="0" w:line="240" w:lineRule="auto"/>
        <w:rPr>
          <w:b/>
          <w:bCs/>
        </w:rPr>
      </w:pPr>
      <w:r>
        <w:t>The goal of this analysis is to classify the samples as either “red” or “blue”, depending on which differential ATAC regions predominate.</w:t>
      </w:r>
      <w:r w:rsidR="00AB1E12">
        <w:t xml:space="preserve"> </w:t>
      </w:r>
      <w:r w:rsidR="00DA0E1E">
        <w:t xml:space="preserve">This method </w:t>
      </w:r>
      <w:r w:rsidR="00CF5736">
        <w:t xml:space="preserve">computes the median log ratio of red regions and of blue regions, and returns true for a sample if the red medians are higher. In red samples, the log ratios in red regions tend to be significantly higher, but in blue samples the red and blue regions are often similar. Thus it can happen that a blue sample has a slightly higher log ratio in the red regions, and is incorrectly called red by this method. These cases </w:t>
      </w:r>
      <w:r w:rsidR="00A76584">
        <w:t xml:space="preserve">can be distinguished from true red samples, because </w:t>
      </w:r>
      <w:proofErr w:type="spellStart"/>
      <w:r w:rsidR="000562B6" w:rsidRPr="0086536D">
        <w:rPr>
          <w:bCs/>
        </w:rPr>
        <w:t>diffMlogp</w:t>
      </w:r>
      <w:proofErr w:type="spellEnd"/>
      <w:r w:rsidR="000562B6" w:rsidRPr="0086536D">
        <w:rPr>
          <w:b/>
          <w:bCs/>
        </w:rPr>
        <w:t>()</w:t>
      </w:r>
      <w:r w:rsidR="000562B6">
        <w:rPr>
          <w:b/>
          <w:bCs/>
        </w:rPr>
        <w:t xml:space="preserve"> </w:t>
      </w:r>
      <w:r w:rsidR="00CF5736">
        <w:t xml:space="preserve">will </w:t>
      </w:r>
      <w:r w:rsidR="00A76584">
        <w:t xml:space="preserve">report very low </w:t>
      </w:r>
      <w:r w:rsidR="000562B6">
        <w:t xml:space="preserve">significance. </w:t>
      </w:r>
      <w:r w:rsidR="00CF5736">
        <w:t xml:space="preserve">Requires a prior call to </w:t>
      </w:r>
      <w:proofErr w:type="spellStart"/>
      <w:r w:rsidR="00A801E9">
        <w:t>c</w:t>
      </w:r>
      <w:r w:rsidR="00CF5736" w:rsidRPr="00456246">
        <w:rPr>
          <w:bCs/>
        </w:rPr>
        <w:t>ombineProbesInRegions</w:t>
      </w:r>
      <w:proofErr w:type="spellEnd"/>
      <w:r w:rsidR="00CF5736" w:rsidRPr="00456246">
        <w:rPr>
          <w:b/>
          <w:bCs/>
        </w:rPr>
        <w:t>()</w:t>
      </w:r>
      <w:r w:rsidR="00CF5736">
        <w:rPr>
          <w:b/>
          <w:bCs/>
        </w:rPr>
        <w:t>.</w:t>
      </w:r>
    </w:p>
    <w:p w14:paraId="303401A8" w14:textId="4C6852D8" w:rsidR="00A43CE8" w:rsidRPr="000A3DDC" w:rsidRDefault="0086536D" w:rsidP="00A43CE8">
      <w:pPr>
        <w:pStyle w:val="Heading2"/>
        <w:ind w:left="0"/>
      </w:pPr>
      <w:proofErr w:type="spellStart"/>
      <w:r w:rsidRPr="0086536D">
        <w:t>diffMlogp</w:t>
      </w:r>
      <w:proofErr w:type="spellEnd"/>
      <w:r w:rsidRPr="0086536D">
        <w:t xml:space="preserve"> </w:t>
      </w:r>
      <w:r w:rsidR="00A43CE8" w:rsidRPr="000A3DDC">
        <w:t>()</w:t>
      </w:r>
    </w:p>
    <w:p w14:paraId="56305F39" w14:textId="77777777" w:rsidR="00A43CE8" w:rsidRDefault="00A43CE8" w:rsidP="00A43CE8"/>
    <w:p w14:paraId="18C1FBB4" w14:textId="54B07017" w:rsidR="00A43CE8" w:rsidRPr="003C7104" w:rsidRDefault="00A43CE8" w:rsidP="00A43CE8">
      <w:pPr>
        <w:spacing w:after="0" w:line="240" w:lineRule="auto"/>
      </w:pPr>
      <w:r w:rsidRPr="00F11291">
        <w:t xml:space="preserve">    </w:t>
      </w:r>
      <w:r w:rsidRPr="003C7104">
        <w:t xml:space="preserve">    </w:t>
      </w:r>
      <w:r w:rsidR="0086536D" w:rsidRPr="0086536D">
        <w:rPr>
          <w:b/>
          <w:bCs/>
        </w:rPr>
        <w:t xml:space="preserve">public float[] </w:t>
      </w:r>
      <w:proofErr w:type="spellStart"/>
      <w:r w:rsidR="0086536D" w:rsidRPr="0086536D">
        <w:rPr>
          <w:bCs/>
        </w:rPr>
        <w:t>diffMlogp</w:t>
      </w:r>
      <w:proofErr w:type="spellEnd"/>
      <w:r w:rsidR="0086536D" w:rsidRPr="0086536D">
        <w:rPr>
          <w:b/>
          <w:bCs/>
        </w:rPr>
        <w:t>()</w:t>
      </w:r>
    </w:p>
    <w:p w14:paraId="64E1F4BE" w14:textId="77777777" w:rsidR="00A43CE8" w:rsidRDefault="00A43CE8" w:rsidP="00A43CE8">
      <w:pPr>
        <w:spacing w:after="0" w:line="240" w:lineRule="auto"/>
      </w:pPr>
    </w:p>
    <w:p w14:paraId="1A3D2FD2" w14:textId="1B2D5D23" w:rsidR="00D732DF" w:rsidRDefault="003763CE" w:rsidP="00D732DF">
      <w:pPr>
        <w:spacing w:after="0" w:line="240" w:lineRule="auto"/>
        <w:rPr>
          <w:b/>
          <w:bCs/>
        </w:rPr>
      </w:pPr>
      <w:r>
        <w:t xml:space="preserve">This method performs a t-test on the </w:t>
      </w:r>
      <w:r w:rsidR="004C5F48">
        <w:t xml:space="preserve">log ratios of red and blue regions. </w:t>
      </w:r>
      <w:r w:rsidR="00600B78">
        <w:t xml:space="preserve">It returns the negative log base ten of the probability that the log ratios of the two types of regions have equal means. Values higher than 2.0 correspond to p &lt; </w:t>
      </w:r>
      <w:r w:rsidR="004C5F48">
        <w:t xml:space="preserve"> </w:t>
      </w:r>
      <w:r w:rsidR="00600B78">
        <w:t>0.01</w:t>
      </w:r>
      <w:r w:rsidR="00A14F64">
        <w:t>, signifying that the red and blue regions are significantly different</w:t>
      </w:r>
      <w:r w:rsidR="00600B78">
        <w:t>.</w:t>
      </w:r>
      <w:r w:rsidR="00A43CE8">
        <w:t xml:space="preserve"> </w:t>
      </w:r>
      <w:r w:rsidR="00D732DF">
        <w:t xml:space="preserve">Requires a prior call to </w:t>
      </w:r>
      <w:proofErr w:type="spellStart"/>
      <w:r w:rsidR="00D732DF">
        <w:t>c</w:t>
      </w:r>
      <w:r w:rsidR="00D732DF" w:rsidRPr="00456246">
        <w:rPr>
          <w:bCs/>
        </w:rPr>
        <w:t>ombineProbesInRegions</w:t>
      </w:r>
      <w:proofErr w:type="spellEnd"/>
      <w:r w:rsidR="00D732DF" w:rsidRPr="00456246">
        <w:rPr>
          <w:b/>
          <w:bCs/>
        </w:rPr>
        <w:t>()</w:t>
      </w:r>
      <w:r w:rsidR="00D732DF">
        <w:rPr>
          <w:b/>
          <w:bCs/>
        </w:rPr>
        <w:t>.</w:t>
      </w:r>
    </w:p>
    <w:p w14:paraId="003594B9" w14:textId="756CC5EC" w:rsidR="00795121" w:rsidRDefault="00795121" w:rsidP="00F53155">
      <w:pPr>
        <w:pStyle w:val="Heading1"/>
        <w:ind w:left="0"/>
      </w:pPr>
      <w:r>
        <w:t xml:space="preserve">Class </w:t>
      </w:r>
      <w:proofErr w:type="spellStart"/>
      <w:r>
        <w:t>FEdata</w:t>
      </w:r>
      <w:proofErr w:type="spellEnd"/>
    </w:p>
    <w:p w14:paraId="50D0BD9A" w14:textId="5B6817F4" w:rsidR="005839D7" w:rsidRDefault="005839D7" w:rsidP="00F53155">
      <w:r>
        <w:t xml:space="preserve">The </w:t>
      </w:r>
      <w:proofErr w:type="spellStart"/>
      <w:r w:rsidR="003E6814">
        <w:t>FEdata</w:t>
      </w:r>
      <w:proofErr w:type="spellEnd"/>
      <w:r>
        <w:t xml:space="preserve"> class implements methods to read </w:t>
      </w:r>
      <w:r w:rsidR="003E6814">
        <w:t xml:space="preserve">annotations and data from </w:t>
      </w:r>
      <w:r>
        <w:t>Agilent Feature Extraction output files</w:t>
      </w:r>
      <w:r w:rsidR="008B3380">
        <w:t>, and selectively filter and access these data.</w:t>
      </w:r>
    </w:p>
    <w:p w14:paraId="4CB79955" w14:textId="2C688ED4" w:rsidR="00D463FC" w:rsidRDefault="00D35D6F" w:rsidP="00F53155">
      <w:pPr>
        <w:spacing w:after="0" w:line="240" w:lineRule="auto"/>
        <w:rPr>
          <w:b/>
          <w:bCs/>
        </w:rPr>
      </w:pPr>
      <w:r w:rsidRPr="00D35D6F">
        <w:rPr>
          <w:b/>
          <w:bCs/>
        </w:rPr>
        <w:lastRenderedPageBreak/>
        <w:t xml:space="preserve">public </w:t>
      </w:r>
      <w:proofErr w:type="spellStart"/>
      <w:r w:rsidRPr="00D35D6F">
        <w:rPr>
          <w:bCs/>
        </w:rPr>
        <w:t>FEdata</w:t>
      </w:r>
      <w:proofErr w:type="spellEnd"/>
      <w:r w:rsidRPr="00D35D6F">
        <w:rPr>
          <w:b/>
          <w:bCs/>
        </w:rPr>
        <w:t xml:space="preserve">(String </w:t>
      </w:r>
      <w:proofErr w:type="spellStart"/>
      <w:r w:rsidRPr="00060804">
        <w:rPr>
          <w:bCs/>
        </w:rPr>
        <w:t>exptdir</w:t>
      </w:r>
      <w:proofErr w:type="spellEnd"/>
      <w:r w:rsidRPr="00D35D6F">
        <w:rPr>
          <w:b/>
          <w:bCs/>
        </w:rPr>
        <w:t xml:space="preserve">, String[] </w:t>
      </w:r>
      <w:proofErr w:type="spellStart"/>
      <w:r w:rsidRPr="00060804">
        <w:rPr>
          <w:bCs/>
        </w:rPr>
        <w:t>nameFields</w:t>
      </w:r>
      <w:proofErr w:type="spellEnd"/>
      <w:r w:rsidRPr="00D35D6F">
        <w:rPr>
          <w:b/>
          <w:bCs/>
        </w:rPr>
        <w:t xml:space="preserve">, String[] </w:t>
      </w:r>
      <w:proofErr w:type="spellStart"/>
      <w:r w:rsidRPr="00060804">
        <w:rPr>
          <w:bCs/>
        </w:rPr>
        <w:t>valueFields</w:t>
      </w:r>
      <w:proofErr w:type="spellEnd"/>
      <w:r w:rsidRPr="00D35D6F">
        <w:rPr>
          <w:b/>
          <w:bCs/>
        </w:rPr>
        <w:t>)</w:t>
      </w:r>
    </w:p>
    <w:p w14:paraId="423C3095" w14:textId="77777777" w:rsidR="00D35D6F" w:rsidRDefault="00D35D6F" w:rsidP="00F53155">
      <w:pPr>
        <w:spacing w:after="0" w:line="240" w:lineRule="auto"/>
      </w:pPr>
    </w:p>
    <w:p w14:paraId="69767570" w14:textId="2220A115" w:rsidR="00D463FC" w:rsidRPr="00D35D6F" w:rsidRDefault="00D463FC" w:rsidP="00D463FC">
      <w:pPr>
        <w:autoSpaceDE w:val="0"/>
        <w:autoSpaceDN w:val="0"/>
        <w:adjustRightInd w:val="0"/>
        <w:spacing w:after="0" w:line="240" w:lineRule="auto"/>
        <w:rPr>
          <w:rFonts w:cstheme="minorHAnsi"/>
        </w:rPr>
      </w:pPr>
      <w:r>
        <w:rPr>
          <w:rFonts w:ascii="Courier New" w:hAnsi="Courier New" w:cs="Courier New"/>
          <w:color w:val="000000"/>
          <w:sz w:val="20"/>
          <w:szCs w:val="20"/>
        </w:rPr>
        <w:tab/>
      </w:r>
      <w:r w:rsidRPr="00D35D6F">
        <w:rPr>
          <w:rFonts w:cstheme="minorHAnsi"/>
          <w:b/>
          <w:bCs/>
          <w:color w:val="7F0055"/>
        </w:rPr>
        <w:t>public</w:t>
      </w:r>
      <w:r w:rsidRPr="00D35D6F">
        <w:rPr>
          <w:rFonts w:cstheme="minorHAnsi"/>
          <w:b/>
          <w:color w:val="000000"/>
        </w:rPr>
        <w:t xml:space="preserve"> </w:t>
      </w:r>
      <w:r w:rsidRPr="00D35D6F">
        <w:rPr>
          <w:rFonts w:cstheme="minorHAnsi"/>
          <w:b/>
          <w:bCs/>
          <w:color w:val="7F0055"/>
        </w:rPr>
        <w:t>int</w:t>
      </w:r>
      <w:r w:rsidR="00D35D6F">
        <w:rPr>
          <w:rFonts w:cstheme="minorHAnsi"/>
          <w:b/>
          <w:bCs/>
          <w:color w:val="7F0055"/>
        </w:rPr>
        <w:tab/>
      </w:r>
      <w:r w:rsidRPr="00D35D6F">
        <w:rPr>
          <w:rFonts w:cstheme="minorHAnsi"/>
          <w:color w:val="0000C0"/>
        </w:rPr>
        <w:t>amadid</w:t>
      </w:r>
      <w:r w:rsidRPr="00D35D6F">
        <w:rPr>
          <w:rFonts w:cstheme="minorHAnsi"/>
          <w:color w:val="000000"/>
        </w:rPr>
        <w:t xml:space="preserve">; </w:t>
      </w:r>
      <w:r w:rsidRPr="00D35D6F">
        <w:rPr>
          <w:rFonts w:cstheme="minorHAnsi"/>
          <w:color w:val="000000"/>
        </w:rPr>
        <w:tab/>
      </w:r>
      <w:r w:rsidRPr="00D35D6F">
        <w:rPr>
          <w:rFonts w:cstheme="minorHAnsi"/>
          <w:color w:val="3F7F5F"/>
        </w:rPr>
        <w:t>// The design ID</w:t>
      </w:r>
    </w:p>
    <w:p w14:paraId="0084324B" w14:textId="66F181F6" w:rsidR="00D463FC" w:rsidRPr="00D35D6F" w:rsidRDefault="00D463FC" w:rsidP="00D463FC">
      <w:pPr>
        <w:autoSpaceDE w:val="0"/>
        <w:autoSpaceDN w:val="0"/>
        <w:adjustRightInd w:val="0"/>
        <w:spacing w:after="0" w:line="240" w:lineRule="auto"/>
        <w:rPr>
          <w:rFonts w:cstheme="minorHAnsi"/>
        </w:rPr>
      </w:pPr>
      <w:r w:rsidRPr="00D35D6F">
        <w:rPr>
          <w:rFonts w:cstheme="minorHAnsi"/>
          <w:color w:val="000000"/>
        </w:rPr>
        <w:tab/>
      </w:r>
      <w:r w:rsidRPr="00D35D6F">
        <w:rPr>
          <w:rFonts w:cstheme="minorHAnsi"/>
          <w:b/>
          <w:bCs/>
          <w:color w:val="7F0055"/>
        </w:rPr>
        <w:t>public</w:t>
      </w:r>
      <w:r w:rsidRPr="00D35D6F">
        <w:rPr>
          <w:rFonts w:cstheme="minorHAnsi"/>
          <w:b/>
          <w:color w:val="000000"/>
        </w:rPr>
        <w:t xml:space="preserve"> String[]</w:t>
      </w:r>
      <w:r w:rsidRPr="00D35D6F">
        <w:rPr>
          <w:rFonts w:cstheme="minorHAnsi"/>
          <w:color w:val="000000"/>
        </w:rPr>
        <w:t xml:space="preserve"> </w:t>
      </w:r>
      <w:r w:rsidR="00D35D6F">
        <w:rPr>
          <w:rFonts w:cstheme="minorHAnsi"/>
          <w:color w:val="000000"/>
        </w:rPr>
        <w:t xml:space="preserve"> </w:t>
      </w:r>
      <w:r w:rsidR="00D35D6F">
        <w:rPr>
          <w:rFonts w:cstheme="minorHAnsi"/>
          <w:color w:val="000000"/>
        </w:rPr>
        <w:tab/>
      </w:r>
      <w:proofErr w:type="spellStart"/>
      <w:r w:rsidRPr="00D35D6F">
        <w:rPr>
          <w:rFonts w:cstheme="minorHAnsi"/>
          <w:color w:val="0000C0"/>
        </w:rPr>
        <w:t>sampleNames</w:t>
      </w:r>
      <w:proofErr w:type="spellEnd"/>
      <w:r w:rsidRPr="00D35D6F">
        <w:rPr>
          <w:rFonts w:cstheme="minorHAnsi"/>
          <w:color w:val="000000"/>
        </w:rPr>
        <w:t>;</w:t>
      </w:r>
      <w:r w:rsidRPr="00D35D6F">
        <w:rPr>
          <w:rFonts w:cstheme="minorHAnsi"/>
          <w:color w:val="000000"/>
        </w:rPr>
        <w:tab/>
      </w:r>
      <w:r w:rsidRPr="00D35D6F">
        <w:rPr>
          <w:rFonts w:cstheme="minorHAnsi"/>
          <w:color w:val="3F7F5F"/>
        </w:rPr>
        <w:t>// Simplified filenames</w:t>
      </w:r>
    </w:p>
    <w:p w14:paraId="568B39A6" w14:textId="77777777" w:rsidR="00795121" w:rsidRDefault="00795121" w:rsidP="00F53155">
      <w:pPr>
        <w:spacing w:after="0" w:line="240" w:lineRule="auto"/>
      </w:pPr>
    </w:p>
    <w:p w14:paraId="50531E63" w14:textId="4A7946AD" w:rsidR="007F66C4" w:rsidRDefault="00E96E95" w:rsidP="007F66C4">
      <w:pPr>
        <w:spacing w:after="0" w:line="240" w:lineRule="auto"/>
        <w:rPr>
          <w:bCs/>
        </w:rPr>
      </w:pPr>
      <w:r>
        <w:t xml:space="preserve">An instance of the </w:t>
      </w:r>
      <w:proofErr w:type="spellStart"/>
      <w:r>
        <w:t>FEdata</w:t>
      </w:r>
      <w:proofErr w:type="spellEnd"/>
      <w:r>
        <w:t xml:space="preserve"> class can store the data from FE output files </w:t>
      </w:r>
      <w:r w:rsidR="00707C7B">
        <w:t xml:space="preserve">from a single experiment using a </w:t>
      </w:r>
      <w:r>
        <w:t xml:space="preserve">single array design. </w:t>
      </w:r>
      <w:r w:rsidR="00795121">
        <w:t xml:space="preserve">The </w:t>
      </w:r>
      <w:proofErr w:type="spellStart"/>
      <w:r w:rsidR="00E45610">
        <w:t>FEdata</w:t>
      </w:r>
      <w:proofErr w:type="spellEnd"/>
      <w:r w:rsidR="00795121">
        <w:t xml:space="preserve"> constructor </w:t>
      </w:r>
      <w:r w:rsidR="005C06BB">
        <w:t>saves</w:t>
      </w:r>
      <w:r w:rsidR="00FD7F1C">
        <w:t xml:space="preserve"> the pathname to the directory containing the FE output files, and</w:t>
      </w:r>
      <w:r w:rsidR="005C06BB">
        <w:t xml:space="preserve"> copies the requested </w:t>
      </w:r>
      <w:proofErr w:type="spellStart"/>
      <w:r w:rsidR="005C06BB" w:rsidRPr="00060804">
        <w:rPr>
          <w:bCs/>
        </w:rPr>
        <w:t>nameFields</w:t>
      </w:r>
      <w:proofErr w:type="spellEnd"/>
      <w:r w:rsidR="005C06BB">
        <w:rPr>
          <w:bCs/>
        </w:rPr>
        <w:t xml:space="preserve"> and </w:t>
      </w:r>
      <w:proofErr w:type="spellStart"/>
      <w:r w:rsidR="005C06BB">
        <w:rPr>
          <w:bCs/>
        </w:rPr>
        <w:t>value</w:t>
      </w:r>
      <w:r w:rsidR="005C06BB" w:rsidRPr="00060804">
        <w:rPr>
          <w:bCs/>
        </w:rPr>
        <w:t>Fields</w:t>
      </w:r>
      <w:proofErr w:type="spellEnd"/>
      <w:r w:rsidR="005C06BB">
        <w:rPr>
          <w:bCs/>
        </w:rPr>
        <w:t>. The FE output files include everything you might want to know about a microarray assay and much, much more.</w:t>
      </w:r>
      <w:r w:rsidR="00B70080">
        <w:rPr>
          <w:bCs/>
        </w:rPr>
        <w:t xml:space="preserve"> Only a handful of the dozens of data fields are interesting for a particular analysis, but </w:t>
      </w:r>
      <w:r w:rsidR="00976782">
        <w:rPr>
          <w:bCs/>
        </w:rPr>
        <w:t>different experiments will be interested in different fields.</w:t>
      </w:r>
      <w:r w:rsidR="00E4633B">
        <w:rPr>
          <w:bCs/>
        </w:rPr>
        <w:t xml:space="preserve"> Name fields are associated with an array design and will be the same for all the arrays in an experiment. Examples are </w:t>
      </w:r>
      <w:proofErr w:type="spellStart"/>
      <w:r w:rsidR="00E4633B">
        <w:rPr>
          <w:bCs/>
        </w:rPr>
        <w:t>ProbeName</w:t>
      </w:r>
      <w:proofErr w:type="spellEnd"/>
      <w:r w:rsidR="00E4633B">
        <w:rPr>
          <w:bCs/>
        </w:rPr>
        <w:t xml:space="preserve"> </w:t>
      </w:r>
      <w:r w:rsidR="008D6420">
        <w:rPr>
          <w:bCs/>
        </w:rPr>
        <w:t>and</w:t>
      </w:r>
      <w:r w:rsidR="00E4633B">
        <w:rPr>
          <w:bCs/>
        </w:rPr>
        <w:t xml:space="preserve"> </w:t>
      </w:r>
      <w:proofErr w:type="spellStart"/>
      <w:r w:rsidR="00E4633B">
        <w:rPr>
          <w:bCs/>
        </w:rPr>
        <w:t>ControlType</w:t>
      </w:r>
      <w:proofErr w:type="spellEnd"/>
      <w:r w:rsidR="00E4633B">
        <w:rPr>
          <w:bCs/>
        </w:rPr>
        <w:t xml:space="preserve">. Value fields, such as </w:t>
      </w:r>
      <w:proofErr w:type="spellStart"/>
      <w:r w:rsidR="00E4633B" w:rsidRPr="00E4633B">
        <w:rPr>
          <w:bCs/>
        </w:rPr>
        <w:t>gBGSubSignal</w:t>
      </w:r>
      <w:proofErr w:type="spellEnd"/>
      <w:r w:rsidR="00E4633B">
        <w:rPr>
          <w:bCs/>
        </w:rPr>
        <w:t xml:space="preserve"> </w:t>
      </w:r>
      <w:r w:rsidR="008D6420">
        <w:rPr>
          <w:bCs/>
        </w:rPr>
        <w:t>and</w:t>
      </w:r>
      <w:r w:rsidR="00E4633B">
        <w:rPr>
          <w:bCs/>
        </w:rPr>
        <w:t xml:space="preserve"> </w:t>
      </w:r>
      <w:proofErr w:type="spellStart"/>
      <w:r w:rsidR="00E4633B" w:rsidRPr="00E4633B">
        <w:rPr>
          <w:bCs/>
        </w:rPr>
        <w:t>gIsFeatNonUnifOL</w:t>
      </w:r>
      <w:proofErr w:type="spellEnd"/>
      <w:r w:rsidR="00E4633B">
        <w:rPr>
          <w:bCs/>
        </w:rPr>
        <w:t xml:space="preserve">, will typically </w:t>
      </w:r>
      <w:r w:rsidR="000E3727">
        <w:rPr>
          <w:bCs/>
        </w:rPr>
        <w:t>have different values for different arrays in the experiment.</w:t>
      </w:r>
      <w:r w:rsidR="00E85C4B">
        <w:rPr>
          <w:bCs/>
        </w:rPr>
        <w:t xml:space="preserve"> The constructor doesn’t actually read the data, but it determines where the data files are to be found and which fields to read.</w:t>
      </w:r>
      <w:r w:rsidR="007F66C4">
        <w:rPr>
          <w:bCs/>
        </w:rPr>
        <w:t xml:space="preserve"> </w:t>
      </w:r>
    </w:p>
    <w:p w14:paraId="0028DACB" w14:textId="77777777" w:rsidR="007F66C4" w:rsidRPr="00732801" w:rsidRDefault="007F66C4" w:rsidP="00F53155">
      <w:pPr>
        <w:spacing w:after="0" w:line="240" w:lineRule="auto"/>
      </w:pPr>
    </w:p>
    <w:p w14:paraId="578AD04C" w14:textId="37A4976A" w:rsidR="00795121" w:rsidRDefault="001C1984" w:rsidP="00F53155">
      <w:pPr>
        <w:pStyle w:val="Heading2"/>
        <w:ind w:left="0"/>
      </w:pPr>
      <w:proofErr w:type="spellStart"/>
      <w:r w:rsidRPr="001C1984">
        <w:t>ReadFEdata</w:t>
      </w:r>
      <w:proofErr w:type="spellEnd"/>
      <w:r>
        <w:t xml:space="preserve"> </w:t>
      </w:r>
      <w:r w:rsidR="00795121">
        <w:t>()</w:t>
      </w:r>
    </w:p>
    <w:p w14:paraId="0365E308" w14:textId="77777777" w:rsidR="00795121" w:rsidRDefault="00795121" w:rsidP="00795121"/>
    <w:p w14:paraId="4074E3AE" w14:textId="663BE330" w:rsidR="00795121" w:rsidRPr="004E7768" w:rsidRDefault="00795121" w:rsidP="001C1984">
      <w:r w:rsidRPr="0086609D">
        <w:t xml:space="preserve">        </w:t>
      </w:r>
      <w:r w:rsidR="001C1984" w:rsidRPr="001C1984">
        <w:rPr>
          <w:b/>
        </w:rPr>
        <w:t>public int</w:t>
      </w:r>
      <w:r w:rsidR="001C1984" w:rsidRPr="001C1984">
        <w:t xml:space="preserve"> </w:t>
      </w:r>
      <w:proofErr w:type="spellStart"/>
      <w:r w:rsidR="001C1984" w:rsidRPr="001C1984">
        <w:t>ReadFEdata</w:t>
      </w:r>
      <w:proofErr w:type="spellEnd"/>
      <w:r w:rsidR="001C1984" w:rsidRPr="001C1984">
        <w:rPr>
          <w:b/>
        </w:rPr>
        <w:t>()</w:t>
      </w:r>
    </w:p>
    <w:p w14:paraId="7769271C" w14:textId="77777777" w:rsidR="007F66C4" w:rsidRDefault="006A3FD2" w:rsidP="007F66C4">
      <w:pPr>
        <w:spacing w:after="0" w:line="240" w:lineRule="auto"/>
        <w:rPr>
          <w:bCs/>
        </w:rPr>
      </w:pPr>
      <w:r>
        <w:t xml:space="preserve">This </w:t>
      </w:r>
      <w:r w:rsidR="00565680">
        <w:t>method loads data into the requested fields from FE output files in the experimental directory.</w:t>
      </w:r>
      <w:r w:rsidR="00500BD8">
        <w:t xml:space="preserve"> It considers all *.txt files in the </w:t>
      </w:r>
      <w:proofErr w:type="spellStart"/>
      <w:r w:rsidR="00500BD8" w:rsidRPr="000066D9">
        <w:rPr>
          <w:color w:val="0070C0"/>
        </w:rPr>
        <w:t>exptdir</w:t>
      </w:r>
      <w:proofErr w:type="spellEnd"/>
      <w:r w:rsidR="00500BD8" w:rsidRPr="000066D9">
        <w:rPr>
          <w:color w:val="0070C0"/>
        </w:rPr>
        <w:t xml:space="preserve"> </w:t>
      </w:r>
      <w:r w:rsidR="00500BD8">
        <w:t xml:space="preserve">to potentially be FE output files. </w:t>
      </w:r>
      <w:r w:rsidR="007F66C4">
        <w:rPr>
          <w:bCs/>
        </w:rPr>
        <w:t>For each such file, it looks for the header field “</w:t>
      </w:r>
      <w:proofErr w:type="spellStart"/>
      <w:r w:rsidR="007F66C4" w:rsidRPr="00F20E54">
        <w:rPr>
          <w:bCs/>
        </w:rPr>
        <w:t>FeatureExtractor_Barcode</w:t>
      </w:r>
      <w:proofErr w:type="spellEnd"/>
      <w:r w:rsidR="007F66C4">
        <w:rPr>
          <w:bCs/>
        </w:rPr>
        <w:t xml:space="preserve">” in line two of the file. If it finds this field name, it then parses the field value from the next line, and extracts the integer </w:t>
      </w:r>
      <w:r w:rsidR="007F66C4" w:rsidRPr="000066D9">
        <w:rPr>
          <w:bCs/>
          <w:color w:val="0070C0"/>
        </w:rPr>
        <w:t>amadid</w:t>
      </w:r>
      <w:r w:rsidR="007F66C4">
        <w:rPr>
          <w:bCs/>
        </w:rPr>
        <w:t>, which is the Agilent code for the array design (</w:t>
      </w:r>
      <w:proofErr w:type="spellStart"/>
      <w:r w:rsidR="007F66C4">
        <w:rPr>
          <w:bCs/>
        </w:rPr>
        <w:t>AgilentMicroArrayDesignID</w:t>
      </w:r>
      <w:proofErr w:type="spellEnd"/>
      <w:r w:rsidR="007F66C4">
        <w:rPr>
          <w:bCs/>
        </w:rPr>
        <w:t xml:space="preserve">). If this is the first valid FE file encountered, then this amadid determines the array design that this instance of </w:t>
      </w:r>
      <w:proofErr w:type="spellStart"/>
      <w:r w:rsidR="007F66C4">
        <w:rPr>
          <w:bCs/>
        </w:rPr>
        <w:t>FEdata</w:t>
      </w:r>
      <w:proofErr w:type="spellEnd"/>
      <w:r w:rsidR="007F66C4">
        <w:rPr>
          <w:bCs/>
        </w:rPr>
        <w:t xml:space="preserve"> will consider. If this isn’t the first valid FE file encountered, then the amadid of this file must match the amadid of earlier files, or the file is ignored.</w:t>
      </w:r>
    </w:p>
    <w:p w14:paraId="180E5D4D" w14:textId="0E71D11C" w:rsidR="007F66C4" w:rsidRDefault="007F66C4" w:rsidP="007F66C4">
      <w:pPr>
        <w:spacing w:after="0" w:line="240" w:lineRule="auto"/>
        <w:rPr>
          <w:rFonts w:cstheme="minorHAnsi"/>
          <w:color w:val="000000" w:themeColor="text1"/>
        </w:rPr>
      </w:pPr>
      <w:r>
        <w:rPr>
          <w:bCs/>
        </w:rPr>
        <w:t xml:space="preserve">Once </w:t>
      </w:r>
      <w:proofErr w:type="spellStart"/>
      <w:r w:rsidRPr="001C1984">
        <w:t>ReadFEdata</w:t>
      </w:r>
      <w:proofErr w:type="spellEnd"/>
      <w:r>
        <w:t xml:space="preserve"> has </w:t>
      </w:r>
      <w:r w:rsidR="00E13EB8">
        <w:t xml:space="preserve">decided which files to include in the experiment, it </w:t>
      </w:r>
      <w:r w:rsidR="000066D9">
        <w:t xml:space="preserve">sorts them alphabetically, and makes simplified versions of the file names available to the host in the </w:t>
      </w:r>
      <w:proofErr w:type="spellStart"/>
      <w:r w:rsidR="000066D9" w:rsidRPr="00D35D6F">
        <w:rPr>
          <w:rFonts w:cstheme="minorHAnsi"/>
          <w:color w:val="0000C0"/>
        </w:rPr>
        <w:t>sampleNames</w:t>
      </w:r>
      <w:proofErr w:type="spellEnd"/>
      <w:r w:rsidR="000066D9" w:rsidRPr="000066D9">
        <w:rPr>
          <w:rFonts w:cstheme="minorHAnsi"/>
          <w:color w:val="000000" w:themeColor="text1"/>
        </w:rPr>
        <w:t xml:space="preserve"> array.</w:t>
      </w:r>
      <w:r w:rsidR="00402B5A">
        <w:rPr>
          <w:rFonts w:cstheme="minorHAnsi"/>
          <w:color w:val="000000" w:themeColor="text1"/>
        </w:rPr>
        <w:t xml:space="preserve"> It then opens the first file, and parses line 10, looking for exact matches to the requested </w:t>
      </w:r>
      <w:proofErr w:type="spellStart"/>
      <w:r w:rsidR="00402B5A" w:rsidRPr="00060804">
        <w:rPr>
          <w:bCs/>
        </w:rPr>
        <w:t>nameFields</w:t>
      </w:r>
      <w:proofErr w:type="spellEnd"/>
      <w:r w:rsidR="00402B5A">
        <w:rPr>
          <w:bCs/>
        </w:rPr>
        <w:t xml:space="preserve"> and </w:t>
      </w:r>
      <w:proofErr w:type="spellStart"/>
      <w:r w:rsidR="00402B5A">
        <w:rPr>
          <w:bCs/>
        </w:rPr>
        <w:t>value</w:t>
      </w:r>
      <w:r w:rsidR="00402B5A" w:rsidRPr="00060804">
        <w:rPr>
          <w:bCs/>
        </w:rPr>
        <w:t>Fields</w:t>
      </w:r>
      <w:proofErr w:type="spellEnd"/>
      <w:r w:rsidR="00B3798B">
        <w:rPr>
          <w:bCs/>
        </w:rPr>
        <w:t>, ignoring any it can’t find</w:t>
      </w:r>
      <w:r w:rsidR="00402B5A">
        <w:rPr>
          <w:bCs/>
        </w:rPr>
        <w:t xml:space="preserve">. </w:t>
      </w:r>
      <w:r w:rsidR="00B3798B">
        <w:rPr>
          <w:bCs/>
        </w:rPr>
        <w:t xml:space="preserve">It then reads the </w:t>
      </w:r>
      <w:r w:rsidR="00CA6F52">
        <w:rPr>
          <w:bCs/>
        </w:rPr>
        <w:t>contents of the name fields for each feature of the array. These are all stored as Strings, even though some of them could</w:t>
      </w:r>
      <w:r w:rsidR="0095731A">
        <w:rPr>
          <w:bCs/>
        </w:rPr>
        <w:t xml:space="preserve"> be</w:t>
      </w:r>
      <w:r w:rsidR="00CA6F52">
        <w:rPr>
          <w:bCs/>
        </w:rPr>
        <w:t xml:space="preserve"> parse</w:t>
      </w:r>
      <w:r w:rsidR="0095731A">
        <w:rPr>
          <w:bCs/>
        </w:rPr>
        <w:t>d</w:t>
      </w:r>
      <w:r w:rsidR="00CA6F52">
        <w:rPr>
          <w:bCs/>
        </w:rPr>
        <w:t xml:space="preserve"> as booleans or ints. </w:t>
      </w:r>
      <w:proofErr w:type="spellStart"/>
      <w:r w:rsidR="0020394A" w:rsidRPr="001C1984">
        <w:t>ReadFEdata</w:t>
      </w:r>
      <w:proofErr w:type="spellEnd"/>
      <w:r w:rsidR="0020394A">
        <w:t>() then reads the contents of the value fie</w:t>
      </w:r>
      <w:r w:rsidR="009C58F1">
        <w:t>l</w:t>
      </w:r>
      <w:r w:rsidR="0020394A">
        <w:t>ds for each feature of each array, parsing them all as floats.</w:t>
      </w:r>
      <w:r w:rsidR="00DC0D2F">
        <w:t xml:space="preserve"> It returns the number of valid FE files it found.</w:t>
      </w:r>
    </w:p>
    <w:p w14:paraId="1E3A7849" w14:textId="0396A79F" w:rsidR="00966860" w:rsidRPr="000A3DDC" w:rsidRDefault="00966860" w:rsidP="00966860">
      <w:pPr>
        <w:pStyle w:val="Heading2"/>
        <w:ind w:left="0"/>
      </w:pPr>
      <w:proofErr w:type="spellStart"/>
      <w:r w:rsidRPr="00966860">
        <w:t>FEnameFieldValue</w:t>
      </w:r>
      <w:proofErr w:type="spellEnd"/>
      <w:r w:rsidRPr="00966860">
        <w:t xml:space="preserve"> </w:t>
      </w:r>
      <w:r w:rsidRPr="000A3DDC">
        <w:t>()</w:t>
      </w:r>
    </w:p>
    <w:p w14:paraId="44253ACC" w14:textId="77777777" w:rsidR="00966860" w:rsidRDefault="00966860" w:rsidP="00966860"/>
    <w:p w14:paraId="634D7960" w14:textId="11A96AE0" w:rsidR="00966860" w:rsidRDefault="00966860" w:rsidP="00966860">
      <w:pPr>
        <w:spacing w:after="0" w:line="240" w:lineRule="auto"/>
        <w:rPr>
          <w:b/>
          <w:bCs/>
        </w:rPr>
      </w:pPr>
      <w:r w:rsidRPr="00F11291">
        <w:t xml:space="preserve">    </w:t>
      </w:r>
      <w:r w:rsidRPr="003C7104">
        <w:t xml:space="preserve">    </w:t>
      </w:r>
      <w:r w:rsidRPr="00966860">
        <w:rPr>
          <w:b/>
          <w:bCs/>
        </w:rPr>
        <w:t xml:space="preserve">public String[] </w:t>
      </w:r>
      <w:proofErr w:type="spellStart"/>
      <w:r w:rsidRPr="00966860">
        <w:rPr>
          <w:bCs/>
        </w:rPr>
        <w:t>FEnameFieldValue</w:t>
      </w:r>
      <w:proofErr w:type="spellEnd"/>
      <w:r w:rsidRPr="00966860">
        <w:rPr>
          <w:b/>
          <w:bCs/>
        </w:rPr>
        <w:t xml:space="preserve">(String </w:t>
      </w:r>
      <w:r w:rsidRPr="00966860">
        <w:rPr>
          <w:bCs/>
        </w:rPr>
        <w:t>fieldname</w:t>
      </w:r>
      <w:r w:rsidRPr="00966860">
        <w:rPr>
          <w:b/>
          <w:bCs/>
        </w:rPr>
        <w:t>)</w:t>
      </w:r>
    </w:p>
    <w:p w14:paraId="2B75C521" w14:textId="6C5C67C6" w:rsidR="00966860" w:rsidRPr="003C7104" w:rsidRDefault="00966860" w:rsidP="00966860">
      <w:pPr>
        <w:spacing w:after="0" w:line="240" w:lineRule="auto"/>
      </w:pPr>
      <w:r w:rsidRPr="00966860">
        <w:rPr>
          <w:b/>
        </w:rPr>
        <w:t xml:space="preserve">        public String[]</w:t>
      </w:r>
      <w:r w:rsidRPr="00966860">
        <w:t xml:space="preserve"> </w:t>
      </w:r>
      <w:proofErr w:type="spellStart"/>
      <w:r w:rsidRPr="00966860">
        <w:t>FEnameFieldValue</w:t>
      </w:r>
      <w:proofErr w:type="spellEnd"/>
      <w:r w:rsidRPr="00966860">
        <w:rPr>
          <w:b/>
        </w:rPr>
        <w:t>(int</w:t>
      </w:r>
      <w:r w:rsidRPr="00966860">
        <w:t xml:space="preserve"> </w:t>
      </w:r>
      <w:proofErr w:type="spellStart"/>
      <w:r w:rsidRPr="00966860">
        <w:t>ifld</w:t>
      </w:r>
      <w:proofErr w:type="spellEnd"/>
      <w:r w:rsidRPr="00966860">
        <w:rPr>
          <w:b/>
        </w:rPr>
        <w:t>)</w:t>
      </w:r>
    </w:p>
    <w:p w14:paraId="2E364CD7" w14:textId="77777777" w:rsidR="00966860" w:rsidRDefault="00966860" w:rsidP="00966860">
      <w:pPr>
        <w:spacing w:after="0" w:line="240" w:lineRule="auto"/>
      </w:pPr>
    </w:p>
    <w:p w14:paraId="742E9C55" w14:textId="04A89847" w:rsidR="00966860" w:rsidRDefault="0064448D" w:rsidP="00966860">
      <w:pPr>
        <w:spacing w:after="0" w:line="240" w:lineRule="auto"/>
      </w:pPr>
      <w:r>
        <w:t>Th</w:t>
      </w:r>
      <w:r w:rsidR="00D54935">
        <w:t>is method gives the host access to the name fields. It returns a vector of strings as long as the number of features on the array.</w:t>
      </w:r>
      <w:r w:rsidR="00966860">
        <w:t xml:space="preserve"> </w:t>
      </w:r>
    </w:p>
    <w:p w14:paraId="3B306CFA" w14:textId="11C8BEFF" w:rsidR="00966860" w:rsidRPr="000A3DDC" w:rsidRDefault="0087207E" w:rsidP="00966860">
      <w:pPr>
        <w:pStyle w:val="Heading2"/>
        <w:ind w:left="0"/>
      </w:pPr>
      <w:proofErr w:type="spellStart"/>
      <w:r w:rsidRPr="0087207E">
        <w:lastRenderedPageBreak/>
        <w:t>FEvalueFieldValue</w:t>
      </w:r>
      <w:proofErr w:type="spellEnd"/>
      <w:r w:rsidRPr="0087207E">
        <w:t xml:space="preserve"> </w:t>
      </w:r>
      <w:r w:rsidR="00966860" w:rsidRPr="000A3DDC">
        <w:t>()</w:t>
      </w:r>
    </w:p>
    <w:p w14:paraId="4BD195A6" w14:textId="77777777" w:rsidR="00966860" w:rsidRDefault="00966860" w:rsidP="00966860"/>
    <w:p w14:paraId="024D6573" w14:textId="70B601BC" w:rsidR="00966860" w:rsidRDefault="00966860" w:rsidP="00966860">
      <w:pPr>
        <w:spacing w:after="0" w:line="240" w:lineRule="auto"/>
        <w:rPr>
          <w:b/>
          <w:bCs/>
        </w:rPr>
      </w:pPr>
      <w:r w:rsidRPr="00F11291">
        <w:t xml:space="preserve">    </w:t>
      </w:r>
      <w:r w:rsidRPr="003C7104">
        <w:t xml:space="preserve">    </w:t>
      </w:r>
      <w:r w:rsidR="0087207E" w:rsidRPr="0087207E">
        <w:rPr>
          <w:b/>
          <w:bCs/>
        </w:rPr>
        <w:t xml:space="preserve">public float[][] </w:t>
      </w:r>
      <w:proofErr w:type="spellStart"/>
      <w:r w:rsidR="0087207E" w:rsidRPr="0087207E">
        <w:rPr>
          <w:bCs/>
        </w:rPr>
        <w:t>FEvalueFieldValue</w:t>
      </w:r>
      <w:proofErr w:type="spellEnd"/>
      <w:r w:rsidR="0087207E" w:rsidRPr="0087207E">
        <w:rPr>
          <w:b/>
          <w:bCs/>
        </w:rPr>
        <w:t xml:space="preserve">(String </w:t>
      </w:r>
      <w:r w:rsidR="0087207E" w:rsidRPr="0087207E">
        <w:rPr>
          <w:bCs/>
        </w:rPr>
        <w:t>fieldname</w:t>
      </w:r>
      <w:r w:rsidR="0087207E" w:rsidRPr="0087207E">
        <w:rPr>
          <w:b/>
          <w:bCs/>
        </w:rPr>
        <w:t>)</w:t>
      </w:r>
    </w:p>
    <w:p w14:paraId="121BD390" w14:textId="24F404CF" w:rsidR="0087207E" w:rsidRDefault="0087207E" w:rsidP="0087207E">
      <w:pPr>
        <w:spacing w:after="0" w:line="240" w:lineRule="auto"/>
        <w:rPr>
          <w:b/>
          <w:bCs/>
        </w:rPr>
      </w:pPr>
      <w:r w:rsidRPr="00F11291">
        <w:t xml:space="preserve">    </w:t>
      </w:r>
      <w:r w:rsidRPr="003C7104">
        <w:t xml:space="preserve">    </w:t>
      </w:r>
      <w:r w:rsidRPr="0087207E">
        <w:rPr>
          <w:b/>
          <w:bCs/>
        </w:rPr>
        <w:t xml:space="preserve">public float[][] </w:t>
      </w:r>
      <w:proofErr w:type="spellStart"/>
      <w:r w:rsidRPr="0087207E">
        <w:rPr>
          <w:bCs/>
        </w:rPr>
        <w:t>FEvalueFieldValue</w:t>
      </w:r>
      <w:proofErr w:type="spellEnd"/>
      <w:r w:rsidRPr="0087207E">
        <w:rPr>
          <w:b/>
          <w:bCs/>
        </w:rPr>
        <w:t xml:space="preserve">(int </w:t>
      </w:r>
      <w:proofErr w:type="spellStart"/>
      <w:r w:rsidRPr="0087207E">
        <w:rPr>
          <w:bCs/>
        </w:rPr>
        <w:t>ifld</w:t>
      </w:r>
      <w:proofErr w:type="spellEnd"/>
      <w:r w:rsidRPr="0087207E">
        <w:rPr>
          <w:b/>
          <w:bCs/>
        </w:rPr>
        <w:t>)</w:t>
      </w:r>
    </w:p>
    <w:p w14:paraId="116D7AE4" w14:textId="77777777" w:rsidR="0087207E" w:rsidRDefault="0087207E" w:rsidP="00966860">
      <w:pPr>
        <w:spacing w:after="0" w:line="240" w:lineRule="auto"/>
      </w:pPr>
    </w:p>
    <w:p w14:paraId="69270851" w14:textId="5A101272" w:rsidR="00D54935" w:rsidRDefault="00D54935" w:rsidP="00D54935">
      <w:pPr>
        <w:spacing w:after="0" w:line="240" w:lineRule="auto"/>
      </w:pPr>
      <w:r>
        <w:t xml:space="preserve">This method gives the host access to the value fields. It returns a </w:t>
      </w:r>
      <w:r w:rsidR="003252B0">
        <w:t>matrix of floats[</w:t>
      </w:r>
      <w:proofErr w:type="spellStart"/>
      <w:r w:rsidR="003252B0">
        <w:t>narrays</w:t>
      </w:r>
      <w:proofErr w:type="spellEnd"/>
      <w:r w:rsidR="003252B0">
        <w:t>][</w:t>
      </w:r>
      <w:proofErr w:type="spellStart"/>
      <w:r w:rsidR="003252B0">
        <w:t>nfeatures</w:t>
      </w:r>
      <w:proofErr w:type="spellEnd"/>
      <w:r w:rsidR="003252B0">
        <w:t>].</w:t>
      </w:r>
      <w:r>
        <w:t xml:space="preserve"> </w:t>
      </w:r>
    </w:p>
    <w:p w14:paraId="330517F4" w14:textId="7B7F31FB" w:rsidR="00966860" w:rsidRPr="000A3DDC" w:rsidRDefault="00241C82" w:rsidP="00966860">
      <w:pPr>
        <w:pStyle w:val="Heading2"/>
        <w:ind w:left="0"/>
      </w:pPr>
      <w:proofErr w:type="spellStart"/>
      <w:r w:rsidRPr="00241C82">
        <w:t>backgroundLevels</w:t>
      </w:r>
      <w:proofErr w:type="spellEnd"/>
      <w:r w:rsidRPr="00241C82">
        <w:t xml:space="preserve"> </w:t>
      </w:r>
      <w:r w:rsidR="00966860" w:rsidRPr="000A3DDC">
        <w:t>()</w:t>
      </w:r>
    </w:p>
    <w:p w14:paraId="6574BD3C" w14:textId="77777777" w:rsidR="00966860" w:rsidRDefault="00966860" w:rsidP="00966860"/>
    <w:p w14:paraId="4A8C9F95" w14:textId="26155988" w:rsidR="00966860" w:rsidRPr="003C7104" w:rsidRDefault="00966860" w:rsidP="00966860">
      <w:pPr>
        <w:spacing w:after="0" w:line="240" w:lineRule="auto"/>
      </w:pPr>
      <w:r w:rsidRPr="00F11291">
        <w:t xml:space="preserve">    </w:t>
      </w:r>
      <w:r w:rsidRPr="003C7104">
        <w:t xml:space="preserve">    </w:t>
      </w:r>
      <w:r w:rsidR="00241C82" w:rsidRPr="00241C82">
        <w:rPr>
          <w:b/>
          <w:bCs/>
        </w:rPr>
        <w:t xml:space="preserve">public float[] </w:t>
      </w:r>
      <w:proofErr w:type="spellStart"/>
      <w:r w:rsidR="00241C82" w:rsidRPr="00241C82">
        <w:rPr>
          <w:bCs/>
        </w:rPr>
        <w:t>backgroundLevels</w:t>
      </w:r>
      <w:proofErr w:type="spellEnd"/>
      <w:r w:rsidR="00241C82" w:rsidRPr="00241C82">
        <w:rPr>
          <w:b/>
          <w:bCs/>
        </w:rPr>
        <w:t xml:space="preserve">(String </w:t>
      </w:r>
      <w:proofErr w:type="spellStart"/>
      <w:r w:rsidR="00241C82" w:rsidRPr="00241C82">
        <w:rPr>
          <w:bCs/>
        </w:rPr>
        <w:t>gsigfield</w:t>
      </w:r>
      <w:proofErr w:type="spellEnd"/>
      <w:r w:rsidR="00241C82" w:rsidRPr="00241C82">
        <w:rPr>
          <w:b/>
          <w:bCs/>
        </w:rPr>
        <w:t xml:space="preserve">, String </w:t>
      </w:r>
      <w:proofErr w:type="spellStart"/>
      <w:r w:rsidR="00241C82" w:rsidRPr="00241C82">
        <w:rPr>
          <w:bCs/>
        </w:rPr>
        <w:t>rsigfield</w:t>
      </w:r>
      <w:proofErr w:type="spellEnd"/>
      <w:r w:rsidR="00241C82" w:rsidRPr="00241C82">
        <w:rPr>
          <w:b/>
          <w:bCs/>
        </w:rPr>
        <w:t>)</w:t>
      </w:r>
    </w:p>
    <w:p w14:paraId="0FD2E97A" w14:textId="77777777" w:rsidR="00966860" w:rsidRDefault="00966860" w:rsidP="00966860">
      <w:pPr>
        <w:spacing w:after="0" w:line="240" w:lineRule="auto"/>
      </w:pPr>
    </w:p>
    <w:p w14:paraId="2953B8B3" w14:textId="65CE1333" w:rsidR="00966860" w:rsidRDefault="00966860" w:rsidP="00966860">
      <w:pPr>
        <w:spacing w:after="0" w:line="240" w:lineRule="auto"/>
        <w:rPr>
          <w:b/>
          <w:bCs/>
        </w:rPr>
      </w:pPr>
      <w:r>
        <w:t xml:space="preserve">The </w:t>
      </w:r>
      <w:r w:rsidR="00816800">
        <w:t xml:space="preserve">background signal level is estimated as the median </w:t>
      </w:r>
      <w:r w:rsidR="004258A1">
        <w:t>signal</w:t>
      </w:r>
      <w:r w:rsidR="00816800">
        <w:t xml:space="preserve"> of the features designated as negative controls. The results are returned in a single float[2*</w:t>
      </w:r>
      <w:proofErr w:type="spellStart"/>
      <w:r w:rsidR="00816800">
        <w:t>narrays</w:t>
      </w:r>
      <w:proofErr w:type="spellEnd"/>
      <w:r w:rsidR="00816800">
        <w:t>], the green channel background</w:t>
      </w:r>
      <w:r w:rsidR="00CB4049">
        <w:t>s</w:t>
      </w:r>
      <w:r w:rsidR="00816800">
        <w:t xml:space="preserve"> first for each array</w:t>
      </w:r>
      <w:r w:rsidR="00186AF9">
        <w:t>, if any,</w:t>
      </w:r>
      <w:r w:rsidR="00816800">
        <w:t xml:space="preserve"> then the red channel backgrounds, if any. </w:t>
      </w:r>
      <w:r w:rsidR="00493BEB">
        <w:t>In a one-color assay the backgrounds reported for the unscanned (usually red) channel will be zero.</w:t>
      </w:r>
    </w:p>
    <w:p w14:paraId="370DCB58" w14:textId="69CCD710" w:rsidR="00992E6D" w:rsidRPr="000A3DDC" w:rsidRDefault="00795121" w:rsidP="00992E6D">
      <w:pPr>
        <w:pStyle w:val="Heading2"/>
        <w:ind w:left="0"/>
      </w:pPr>
      <w:r>
        <w:t xml:space="preserve"> </w:t>
      </w:r>
      <w:proofErr w:type="spellStart"/>
      <w:r w:rsidR="002B706D" w:rsidRPr="002B706D">
        <w:t>backgroundNoise</w:t>
      </w:r>
      <w:proofErr w:type="spellEnd"/>
      <w:r w:rsidR="002B706D" w:rsidRPr="002B706D">
        <w:t xml:space="preserve"> </w:t>
      </w:r>
      <w:r w:rsidR="00992E6D" w:rsidRPr="000A3DDC">
        <w:t>()</w:t>
      </w:r>
    </w:p>
    <w:p w14:paraId="273EC9DC" w14:textId="77777777" w:rsidR="00992E6D" w:rsidRDefault="00992E6D" w:rsidP="00992E6D"/>
    <w:p w14:paraId="65ABD4DE" w14:textId="6C81D6A6" w:rsidR="00992E6D" w:rsidRDefault="00992E6D" w:rsidP="002B706D">
      <w:pPr>
        <w:spacing w:after="0" w:line="240" w:lineRule="auto"/>
        <w:rPr>
          <w:b/>
          <w:bCs/>
        </w:rPr>
      </w:pPr>
      <w:r w:rsidRPr="00F11291">
        <w:t xml:space="preserve">    </w:t>
      </w:r>
      <w:r w:rsidRPr="003C7104">
        <w:t xml:space="preserve">    </w:t>
      </w:r>
      <w:r w:rsidR="002B706D" w:rsidRPr="002B706D">
        <w:rPr>
          <w:b/>
          <w:bCs/>
        </w:rPr>
        <w:t xml:space="preserve">public float[] </w:t>
      </w:r>
      <w:proofErr w:type="spellStart"/>
      <w:r w:rsidR="002B706D" w:rsidRPr="002B706D">
        <w:rPr>
          <w:bCs/>
        </w:rPr>
        <w:t>backgroundNoise</w:t>
      </w:r>
      <w:proofErr w:type="spellEnd"/>
      <w:r w:rsidR="002B706D" w:rsidRPr="002B706D">
        <w:rPr>
          <w:b/>
          <w:bCs/>
        </w:rPr>
        <w:t xml:space="preserve">(String </w:t>
      </w:r>
      <w:proofErr w:type="spellStart"/>
      <w:r w:rsidR="002B706D" w:rsidRPr="002B706D">
        <w:rPr>
          <w:bCs/>
        </w:rPr>
        <w:t>gsigfield</w:t>
      </w:r>
      <w:proofErr w:type="spellEnd"/>
      <w:r w:rsidR="002B706D" w:rsidRPr="002B706D">
        <w:rPr>
          <w:b/>
          <w:bCs/>
        </w:rPr>
        <w:t xml:space="preserve">, String </w:t>
      </w:r>
      <w:proofErr w:type="spellStart"/>
      <w:r w:rsidR="002B706D" w:rsidRPr="002B706D">
        <w:rPr>
          <w:bCs/>
        </w:rPr>
        <w:t>rsigfield</w:t>
      </w:r>
      <w:proofErr w:type="spellEnd"/>
      <w:r w:rsidR="002B706D" w:rsidRPr="002B706D">
        <w:rPr>
          <w:b/>
          <w:bCs/>
        </w:rPr>
        <w:t>)</w:t>
      </w:r>
    </w:p>
    <w:p w14:paraId="0C12427C" w14:textId="77777777" w:rsidR="00992E6D" w:rsidRDefault="00992E6D" w:rsidP="00992E6D">
      <w:pPr>
        <w:spacing w:after="0" w:line="240" w:lineRule="auto"/>
      </w:pPr>
    </w:p>
    <w:p w14:paraId="45508AEE" w14:textId="3FB182EF" w:rsidR="00493BEB" w:rsidRDefault="00992E6D" w:rsidP="00493BEB">
      <w:pPr>
        <w:spacing w:after="0" w:line="240" w:lineRule="auto"/>
        <w:rPr>
          <w:b/>
          <w:bCs/>
        </w:rPr>
      </w:pPr>
      <w:r>
        <w:t xml:space="preserve">The </w:t>
      </w:r>
      <w:r w:rsidR="00493BEB">
        <w:t xml:space="preserve">background </w:t>
      </w:r>
      <w:r w:rsidR="004258A1">
        <w:t>noise</w:t>
      </w:r>
      <w:r w:rsidR="00493BEB">
        <w:t xml:space="preserve"> level is estimated as the </w:t>
      </w:r>
      <w:r w:rsidR="004258A1">
        <w:t>robust standard deviation</w:t>
      </w:r>
      <w:r w:rsidR="00493BEB">
        <w:t xml:space="preserve"> of the </w:t>
      </w:r>
      <w:r w:rsidR="004258A1">
        <w:t xml:space="preserve">signals from negative control </w:t>
      </w:r>
      <w:r w:rsidR="00493BEB">
        <w:t xml:space="preserve">features. </w:t>
      </w:r>
      <w:r w:rsidR="0000159E">
        <w:t>This is one standard deviation above zero</w:t>
      </w:r>
      <w:r w:rsidR="00DE3699">
        <w:t xml:space="preserve"> of negative features</w:t>
      </w:r>
      <w:r w:rsidR="0000159E">
        <w:t xml:space="preserve">, and is used to surrogate signals and to estimate detection limits. </w:t>
      </w:r>
      <w:r w:rsidR="00493BEB">
        <w:t>The results are returned in a single float[2*</w:t>
      </w:r>
      <w:proofErr w:type="spellStart"/>
      <w:r w:rsidR="00493BEB">
        <w:t>narrays</w:t>
      </w:r>
      <w:proofErr w:type="spellEnd"/>
      <w:r w:rsidR="00493BEB">
        <w:t>], the green channel background</w:t>
      </w:r>
      <w:r w:rsidR="00484318">
        <w:t xml:space="preserve"> noise</w:t>
      </w:r>
      <w:r w:rsidR="00493BEB">
        <w:t xml:space="preserve"> first for each array</w:t>
      </w:r>
      <w:r w:rsidR="00422E63">
        <w:t>, if any,</w:t>
      </w:r>
      <w:r w:rsidR="00493BEB">
        <w:t xml:space="preserve"> then the red channel backgrounds, if any. In a one-color assay the background</w:t>
      </w:r>
      <w:r w:rsidR="00484318">
        <w:t xml:space="preserve"> noise</w:t>
      </w:r>
      <w:r w:rsidR="00493BEB">
        <w:t xml:space="preserve"> reported for the unscanned (usually red) channel will be zero.</w:t>
      </w:r>
    </w:p>
    <w:p w14:paraId="4F3D8955" w14:textId="20110128" w:rsidR="00992E6D" w:rsidRPr="000A3DDC" w:rsidRDefault="003521AA" w:rsidP="00992E6D">
      <w:pPr>
        <w:pStyle w:val="Heading2"/>
        <w:ind w:left="0"/>
      </w:pPr>
      <w:proofErr w:type="spellStart"/>
      <w:r w:rsidRPr="003521AA">
        <w:t>filterValues</w:t>
      </w:r>
      <w:proofErr w:type="spellEnd"/>
      <w:r w:rsidRPr="003521AA">
        <w:t xml:space="preserve"> </w:t>
      </w:r>
      <w:r w:rsidR="00992E6D" w:rsidRPr="000A3DDC">
        <w:t>()</w:t>
      </w:r>
    </w:p>
    <w:p w14:paraId="06CA56A0" w14:textId="77777777" w:rsidR="00992E6D" w:rsidRDefault="00992E6D" w:rsidP="00992E6D"/>
    <w:p w14:paraId="682B7867" w14:textId="0F99C9A4" w:rsidR="00992E6D" w:rsidRDefault="00992E6D" w:rsidP="003521AA">
      <w:pPr>
        <w:spacing w:after="0" w:line="240" w:lineRule="auto"/>
        <w:rPr>
          <w:b/>
          <w:bCs/>
        </w:rPr>
      </w:pPr>
      <w:r w:rsidRPr="00F11291">
        <w:t xml:space="preserve">    </w:t>
      </w:r>
      <w:r w:rsidRPr="003C7104">
        <w:t xml:space="preserve">    </w:t>
      </w:r>
      <w:r w:rsidR="003521AA" w:rsidRPr="003521AA">
        <w:rPr>
          <w:b/>
          <w:bCs/>
        </w:rPr>
        <w:t xml:space="preserve">public void </w:t>
      </w:r>
      <w:proofErr w:type="spellStart"/>
      <w:r w:rsidR="003521AA" w:rsidRPr="003521AA">
        <w:rPr>
          <w:bCs/>
        </w:rPr>
        <w:t>filterValues</w:t>
      </w:r>
      <w:proofErr w:type="spellEnd"/>
      <w:r w:rsidR="003521AA" w:rsidRPr="003521AA">
        <w:rPr>
          <w:b/>
          <w:bCs/>
        </w:rPr>
        <w:t xml:space="preserve">(String </w:t>
      </w:r>
      <w:proofErr w:type="spellStart"/>
      <w:r w:rsidR="003521AA" w:rsidRPr="003521AA">
        <w:rPr>
          <w:bCs/>
        </w:rPr>
        <w:t>valueField</w:t>
      </w:r>
      <w:proofErr w:type="spellEnd"/>
      <w:r w:rsidR="003521AA" w:rsidRPr="003521AA">
        <w:rPr>
          <w:b/>
          <w:bCs/>
        </w:rPr>
        <w:t xml:space="preserve">, String </w:t>
      </w:r>
      <w:proofErr w:type="spellStart"/>
      <w:r w:rsidR="003521AA" w:rsidRPr="003521AA">
        <w:rPr>
          <w:bCs/>
        </w:rPr>
        <w:t>filterField</w:t>
      </w:r>
      <w:proofErr w:type="spellEnd"/>
      <w:r w:rsidR="003521AA" w:rsidRPr="003521AA">
        <w:rPr>
          <w:b/>
          <w:bCs/>
        </w:rPr>
        <w:t>)</w:t>
      </w:r>
    </w:p>
    <w:p w14:paraId="19D945EA" w14:textId="77777777" w:rsidR="003521AA" w:rsidRDefault="003521AA" w:rsidP="003521AA">
      <w:pPr>
        <w:spacing w:after="0" w:line="240" w:lineRule="auto"/>
      </w:pPr>
    </w:p>
    <w:p w14:paraId="66B702D3" w14:textId="35A57BD8" w:rsidR="00992E6D" w:rsidRDefault="003F19EF" w:rsidP="00992E6D">
      <w:pPr>
        <w:spacing w:after="0" w:line="240" w:lineRule="auto"/>
      </w:pPr>
      <w:r>
        <w:t>FE</w:t>
      </w:r>
      <w:r w:rsidR="00992E6D">
        <w:t xml:space="preserve"> </w:t>
      </w:r>
      <w:r>
        <w:t>provides several boolean fields to</w:t>
      </w:r>
      <w:r w:rsidR="009F4121">
        <w:t xml:space="preserve"> </w:t>
      </w:r>
      <w:r w:rsidR="006024B5">
        <w:t>flag features as aberrant or questionable.</w:t>
      </w:r>
      <w:r w:rsidR="009F4121">
        <w:t xml:space="preserve"> </w:t>
      </w:r>
      <w:r w:rsidR="006024B5">
        <w:t>The most useful of these are the nonuniformity flags</w:t>
      </w:r>
      <w:r>
        <w:t xml:space="preserve"> </w:t>
      </w:r>
      <w:proofErr w:type="spellStart"/>
      <w:r w:rsidR="009F4121" w:rsidRPr="009F4121">
        <w:t>gIsFeatNonUnifOL</w:t>
      </w:r>
      <w:proofErr w:type="spellEnd"/>
      <w:r w:rsidR="006024B5">
        <w:t xml:space="preserve"> and </w:t>
      </w:r>
      <w:proofErr w:type="spellStart"/>
      <w:r w:rsidR="006024B5">
        <w:t>r</w:t>
      </w:r>
      <w:r w:rsidR="006024B5" w:rsidRPr="009F4121">
        <w:t>IsFeatNonUnifOL</w:t>
      </w:r>
      <w:proofErr w:type="spellEnd"/>
      <w:r w:rsidR="002C0083">
        <w:t xml:space="preserve">. The </w:t>
      </w:r>
      <w:proofErr w:type="spellStart"/>
      <w:r w:rsidR="002C0083" w:rsidRPr="003521AA">
        <w:rPr>
          <w:bCs/>
        </w:rPr>
        <w:t>filterValues</w:t>
      </w:r>
      <w:proofErr w:type="spellEnd"/>
      <w:r w:rsidR="002C0083">
        <w:rPr>
          <w:bCs/>
        </w:rPr>
        <w:t xml:space="preserve">() method </w:t>
      </w:r>
      <w:r w:rsidR="00684026">
        <w:rPr>
          <w:bCs/>
        </w:rPr>
        <w:t xml:space="preserve">uses any field to filter any other field. Each feature on each array that reports a nonzero value of the filter field will have its </w:t>
      </w:r>
      <w:proofErr w:type="spellStart"/>
      <w:r w:rsidR="00684026">
        <w:rPr>
          <w:bCs/>
        </w:rPr>
        <w:t>valueField</w:t>
      </w:r>
      <w:proofErr w:type="spellEnd"/>
      <w:r w:rsidR="00684026">
        <w:rPr>
          <w:bCs/>
        </w:rPr>
        <w:t xml:space="preserve"> replaced with </w:t>
      </w:r>
      <w:proofErr w:type="spellStart"/>
      <w:r w:rsidR="00684026">
        <w:rPr>
          <w:bCs/>
        </w:rPr>
        <w:t>Float.NaN</w:t>
      </w:r>
      <w:proofErr w:type="spellEnd"/>
      <w:r w:rsidR="00684026">
        <w:rPr>
          <w:bCs/>
        </w:rPr>
        <w:t>.</w:t>
      </w:r>
      <w:r w:rsidR="00AB6A8E">
        <w:rPr>
          <w:bCs/>
        </w:rPr>
        <w:t xml:space="preserve"> Downstream methods then ignore these features.</w:t>
      </w:r>
    </w:p>
    <w:p w14:paraId="545C898D" w14:textId="5EC32A34" w:rsidR="00E9651C" w:rsidRDefault="00E9651C" w:rsidP="00E474EF">
      <w:pPr>
        <w:pStyle w:val="Heading1"/>
      </w:pPr>
      <w:r>
        <w:t>Running standalone</w:t>
      </w:r>
    </w:p>
    <w:p w14:paraId="4FC1AED2" w14:textId="1925648E" w:rsidR="00E9651C" w:rsidRDefault="00F06F2B" w:rsidP="00E9651C">
      <w:r>
        <w:t xml:space="preserve">A </w:t>
      </w:r>
      <w:r w:rsidR="00633500">
        <w:t xml:space="preserve">standalone </w:t>
      </w:r>
      <w:r>
        <w:t xml:space="preserve">version of the java code exists in </w:t>
      </w:r>
      <w:hyperlink r:id="rId6" w:history="1">
        <w:r w:rsidR="007E1C2F" w:rsidRPr="00EC1067">
          <w:rPr>
            <w:rStyle w:val="Hyperlink"/>
          </w:rPr>
          <w:t xml:space="preserve">\\shasta.scs.agilent.com\kryptonite\share4\EpiGenomics\DharaATACchip\javaCode\ATACanalysis </w:t>
        </w:r>
      </w:hyperlink>
      <w:r>
        <w:t>.</w:t>
      </w:r>
    </w:p>
    <w:p w14:paraId="74E3BD32" w14:textId="532EBBED" w:rsidR="00F06F2B" w:rsidRDefault="00F06F2B" w:rsidP="00E9651C">
      <w:r>
        <w:lastRenderedPageBreak/>
        <w:t xml:space="preserve">In the bin subdirectory is </w:t>
      </w:r>
      <w:r w:rsidR="0034351A">
        <w:t xml:space="preserve">the Windows batch file </w:t>
      </w:r>
      <w:r w:rsidR="007E1C2F" w:rsidRPr="007E1C2F">
        <w:t>ATACanalysis</w:t>
      </w:r>
      <w:r>
        <w:t>.bat, which takes as its input an experimental directory</w:t>
      </w:r>
      <w:r w:rsidR="007E1C2F">
        <w:t xml:space="preserve"> containing FE output files</w:t>
      </w:r>
      <w:r>
        <w:t xml:space="preserve">, and </w:t>
      </w:r>
      <w:r w:rsidR="007E1C2F">
        <w:t xml:space="preserve">generates </w:t>
      </w:r>
      <w:r w:rsidR="001E78A7">
        <w:t xml:space="preserve">the output files </w:t>
      </w:r>
      <w:r w:rsidR="001E78A7" w:rsidRPr="001E78A7">
        <w:t>ATACregionLRs</w:t>
      </w:r>
      <w:r w:rsidR="001E78A7">
        <w:t xml:space="preserve">.txt and </w:t>
      </w:r>
      <w:r w:rsidR="001E78A7" w:rsidRPr="001E78A7">
        <w:t>SampleCl</w:t>
      </w:r>
      <w:r w:rsidR="00BA6826">
        <w:t>a</w:t>
      </w:r>
      <w:r w:rsidR="001E78A7" w:rsidRPr="001E78A7">
        <w:t>ssification</w:t>
      </w:r>
      <w:r w:rsidR="001E78A7">
        <w:t>.txt in the same directory.</w:t>
      </w:r>
    </w:p>
    <w:p w14:paraId="5A5A13CE" w14:textId="621892B5" w:rsidR="001167BC" w:rsidRDefault="006F65D9" w:rsidP="00E9651C">
      <w:r>
        <w:t>The jar file is executed from the command line as</w:t>
      </w:r>
    </w:p>
    <w:p w14:paraId="63CC755C" w14:textId="77777777" w:rsidR="00C87C6F" w:rsidRDefault="00C87C6F" w:rsidP="00140C8E">
      <w:pPr>
        <w:ind w:firstLine="720"/>
      </w:pPr>
      <w:r w:rsidRPr="00C87C6F">
        <w:t>java -jar %cd%\..\bin\ATACanalysis.jar  %</w:t>
      </w:r>
      <w:proofErr w:type="spellStart"/>
      <w:r w:rsidRPr="00C87C6F">
        <w:t>designdir</w:t>
      </w:r>
      <w:proofErr w:type="spellEnd"/>
      <w:r w:rsidRPr="00C87C6F">
        <w:t>% %</w:t>
      </w:r>
      <w:proofErr w:type="spellStart"/>
      <w:r w:rsidRPr="00C87C6F">
        <w:t>exptdir</w:t>
      </w:r>
      <w:proofErr w:type="spellEnd"/>
      <w:r w:rsidRPr="00C87C6F">
        <w:t xml:space="preserve">% </w:t>
      </w:r>
    </w:p>
    <w:p w14:paraId="04AB1AE4" w14:textId="1F4CC735" w:rsidR="000403CC" w:rsidRDefault="006F65D9" w:rsidP="00AA4165">
      <w:r>
        <w:t>where</w:t>
      </w:r>
      <w:r w:rsidR="00C87C6F">
        <w:t xml:space="preserve"> </w:t>
      </w:r>
      <w:proofErr w:type="spellStart"/>
      <w:r w:rsidR="00C87C6F">
        <w:t>designdir</w:t>
      </w:r>
      <w:proofErr w:type="spellEnd"/>
      <w:r w:rsidR="00C87C6F">
        <w:t xml:space="preserve"> is the full pathname to the directory containing the </w:t>
      </w:r>
      <w:r w:rsidR="00AA4165">
        <w:t>“</w:t>
      </w:r>
      <w:r w:rsidR="00C87C6F" w:rsidRPr="00C87C6F">
        <w:t>ATACctrlRegions</w:t>
      </w:r>
      <w:r w:rsidR="00C87C6F">
        <w:t>.txt</w:t>
      </w:r>
      <w:r w:rsidR="00AA4165">
        <w:t>”</w:t>
      </w:r>
      <w:r w:rsidR="00C87C6F">
        <w:t xml:space="preserve"> and </w:t>
      </w:r>
      <w:r w:rsidR="00AA4165">
        <w:t>“</w:t>
      </w:r>
      <w:r w:rsidR="00C87C6F" w:rsidRPr="00C87C6F">
        <w:t>ATAC</w:t>
      </w:r>
      <w:r w:rsidR="00C87C6F">
        <w:t>diff</w:t>
      </w:r>
      <w:r w:rsidR="00C87C6F" w:rsidRPr="00C87C6F">
        <w:t>Regions</w:t>
      </w:r>
      <w:r w:rsidR="00C87C6F">
        <w:t>.txt</w:t>
      </w:r>
      <w:r w:rsidR="00AA4165">
        <w:t>”</w:t>
      </w:r>
      <w:r w:rsidR="00C87C6F">
        <w:t xml:space="preserve"> files defining the ATAC regions, and </w:t>
      </w:r>
      <w:proofErr w:type="spellStart"/>
      <w:r>
        <w:t>exptdir</w:t>
      </w:r>
      <w:proofErr w:type="spellEnd"/>
      <w:r>
        <w:t xml:space="preserve"> is the full pathname</w:t>
      </w:r>
      <w:r w:rsidR="00EE4156">
        <w:t xml:space="preserve"> to the directory containing the </w:t>
      </w:r>
      <w:r w:rsidR="00F57CF8">
        <w:t>FE output</w:t>
      </w:r>
      <w:r w:rsidR="00EE4156">
        <w:t xml:space="preserve"> files</w:t>
      </w:r>
      <w:r w:rsidR="00F57CF8">
        <w:t>.</w:t>
      </w:r>
      <w:r w:rsidR="009402A5">
        <w:t xml:space="preserve"> </w:t>
      </w:r>
      <w:r w:rsidR="005F70E7" w:rsidRPr="007E1C2F">
        <w:t>ATACanalysis</w:t>
      </w:r>
      <w:r w:rsidR="005F70E7">
        <w:t xml:space="preserve">.bat </w:t>
      </w:r>
      <w:r w:rsidR="00414134">
        <w:t>defaults</w:t>
      </w:r>
      <w:r w:rsidR="005F70E7">
        <w:t xml:space="preserve"> </w:t>
      </w:r>
      <w:r w:rsidR="009402A5">
        <w:t xml:space="preserve">the </w:t>
      </w:r>
      <w:proofErr w:type="spellStart"/>
      <w:r w:rsidR="009402A5">
        <w:t>designdir</w:t>
      </w:r>
      <w:proofErr w:type="spellEnd"/>
      <w:r w:rsidR="005F70E7">
        <w:t xml:space="preserve"> to </w:t>
      </w:r>
      <w:r w:rsidR="00414134">
        <w:t>..\config\, where .. is the current directory.</w:t>
      </w:r>
    </w:p>
    <w:p w14:paraId="5A5260F7" w14:textId="47A11F62" w:rsidR="00633500" w:rsidRDefault="00633500" w:rsidP="00E9651C">
      <w:r>
        <w:t xml:space="preserve">Running this batch file will generate </w:t>
      </w:r>
      <w:r w:rsidR="00414134">
        <w:t xml:space="preserve">two files in the experimental directory, </w:t>
      </w:r>
      <w:r w:rsidR="00367DA9">
        <w:t>“</w:t>
      </w:r>
      <w:r w:rsidR="00367DA9" w:rsidRPr="00367DA9">
        <w:t>ATACregionLRs</w:t>
      </w:r>
      <w:r w:rsidR="00367DA9">
        <w:t>.txt” containing the average log ratios of probes in each region, and “</w:t>
      </w:r>
      <w:r w:rsidR="00367DA9" w:rsidRPr="00367DA9">
        <w:t>SampleClassification</w:t>
      </w:r>
      <w:r w:rsidR="00367DA9">
        <w:t>.txt”, contain</w:t>
      </w:r>
      <w:r w:rsidR="00B50F2D">
        <w:t>in</w:t>
      </w:r>
      <w:r w:rsidR="00367DA9">
        <w:t>g the classification and p-value for each of the samples.</w:t>
      </w:r>
    </w:p>
    <w:p w14:paraId="3ECADF97" w14:textId="011B02A6" w:rsidR="00D60B93" w:rsidRDefault="00D60B93" w:rsidP="00D60B93">
      <w:pPr>
        <w:pStyle w:val="Heading1"/>
      </w:pPr>
      <w:r>
        <w:t>The assay</w:t>
      </w:r>
    </w:p>
    <w:p w14:paraId="78BA8776" w14:textId="669E41FB" w:rsidR="001E39F5" w:rsidRDefault="00D60B93" w:rsidP="00E9651C">
      <w:r>
        <w:t>The original Dhara assay used ATAC-seq to explore chromatic accessibility (</w:t>
      </w:r>
      <w:hyperlink r:id="rId7" w:history="1">
        <w:r w:rsidRPr="00446E74">
          <w:rPr>
            <w:rStyle w:val="Hyperlink"/>
          </w:rPr>
          <w:t>https://en.wikipedia.org/wiki/ATAC-seq</w:t>
        </w:r>
      </w:hyperlink>
      <w:r>
        <w:t xml:space="preserve">). Dhara postulated that a microarray readout of </w:t>
      </w:r>
      <w:r w:rsidR="009115F0">
        <w:t>the</w:t>
      </w:r>
      <w:r>
        <w:t xml:space="preserve"> ATAC samples would be faster and cheaper than a sequencing readout. The experiment can be summarized as:</w:t>
      </w:r>
    </w:p>
    <w:p w14:paraId="60FB290E" w14:textId="75F702CA" w:rsidR="00D60B93" w:rsidRDefault="00D60B93" w:rsidP="00D60B93">
      <w:pPr>
        <w:pStyle w:val="ListParagraph"/>
        <w:numPr>
          <w:ilvl w:val="0"/>
          <w:numId w:val="20"/>
        </w:numPr>
      </w:pPr>
      <w:r>
        <w:t>Use ATAC to attach PCR primers to accessible genomic regions</w:t>
      </w:r>
    </w:p>
    <w:p w14:paraId="2032F10D" w14:textId="28235C73" w:rsidR="00D60B93" w:rsidRDefault="00A621D7" w:rsidP="00D60B93">
      <w:pPr>
        <w:pStyle w:val="ListParagraph"/>
        <w:numPr>
          <w:ilvl w:val="0"/>
          <w:numId w:val="20"/>
        </w:numPr>
      </w:pPr>
      <w:r>
        <w:t xml:space="preserve">Amplify </w:t>
      </w:r>
      <w:r w:rsidR="00E02CA2">
        <w:t>those regions.</w:t>
      </w:r>
    </w:p>
    <w:p w14:paraId="02D4D001" w14:textId="77777777" w:rsidR="00E02CA2" w:rsidRDefault="00E02CA2" w:rsidP="00D60B93">
      <w:pPr>
        <w:pStyle w:val="ListParagraph"/>
        <w:numPr>
          <w:ilvl w:val="0"/>
          <w:numId w:val="20"/>
        </w:numPr>
      </w:pPr>
      <w:r>
        <w:t>Label the sample with cy5 using the Agilent ULS labeling kit</w:t>
      </w:r>
    </w:p>
    <w:p w14:paraId="6F9E7E78" w14:textId="47C94523" w:rsidR="00E02CA2" w:rsidRDefault="00E02CA2" w:rsidP="00D60B93">
      <w:pPr>
        <w:pStyle w:val="ListParagraph"/>
        <w:numPr>
          <w:ilvl w:val="0"/>
          <w:numId w:val="20"/>
        </w:numPr>
      </w:pPr>
      <w:r>
        <w:t>Hybridize 200 ng of DNA to a microarray, along with 200 ng of cy3 labeled genomic DNA.</w:t>
      </w:r>
    </w:p>
    <w:p w14:paraId="0F6E268F" w14:textId="4ECDFA4F" w:rsidR="00E02CA2" w:rsidRDefault="00E02CA2" w:rsidP="00D60B93">
      <w:pPr>
        <w:pStyle w:val="ListParagraph"/>
        <w:numPr>
          <w:ilvl w:val="0"/>
          <w:numId w:val="20"/>
        </w:numPr>
      </w:pPr>
      <w:r>
        <w:t>Read out the log ratios of probes in selected genomic regions to the reference signal.</w:t>
      </w:r>
    </w:p>
    <w:p w14:paraId="13B8A2FD" w14:textId="08EF37B6" w:rsidR="00D754A3" w:rsidRDefault="00D754A3" w:rsidP="00D754A3">
      <w:pPr>
        <w:pStyle w:val="Heading1"/>
      </w:pPr>
      <w:r>
        <w:t>Array design</w:t>
      </w:r>
    </w:p>
    <w:p w14:paraId="20F1D529" w14:textId="7B5369BD" w:rsidR="00E75AD8" w:rsidRDefault="00D754A3" w:rsidP="00D754A3">
      <w:pPr>
        <w:ind w:left="360"/>
      </w:pPr>
      <w:r>
        <w:t xml:space="preserve">The </w:t>
      </w:r>
      <w:r w:rsidRPr="00D754A3">
        <w:t>20181011_eArray_Design1</w:t>
      </w:r>
      <w:r>
        <w:t xml:space="preserve">, amadid 85790, was the original design tested. This design contains </w:t>
      </w:r>
      <w:r w:rsidRPr="00D754A3">
        <w:t>724 negative and 3162 positive control features</w:t>
      </w:r>
      <w:r w:rsidR="00C70478">
        <w:t xml:space="preserve">, </w:t>
      </w:r>
      <w:r w:rsidRPr="00D754A3">
        <w:t>7405 CGH backbone probes</w:t>
      </w:r>
      <w:r>
        <w:t xml:space="preserve"> of which</w:t>
      </w:r>
      <w:r w:rsidRPr="00D754A3">
        <w:t xml:space="preserve"> </w:t>
      </w:r>
      <w:r>
        <w:t>1002</w:t>
      </w:r>
      <w:r w:rsidRPr="00D754A3">
        <w:t xml:space="preserve"> </w:t>
      </w:r>
      <w:r>
        <w:t>are replicated five or more times (11450 features total)</w:t>
      </w:r>
      <w:r w:rsidRPr="00D754A3">
        <w:t xml:space="preserve">, </w:t>
      </w:r>
      <w:r w:rsidR="00E75AD8" w:rsidRPr="00E75AD8">
        <w:t xml:space="preserve">1544 </w:t>
      </w:r>
      <w:r w:rsidR="00E75AD8">
        <w:t xml:space="preserve">ATAC </w:t>
      </w:r>
      <w:r w:rsidR="00E75AD8" w:rsidRPr="00E75AD8">
        <w:t xml:space="preserve">control and 5210 </w:t>
      </w:r>
      <w:r w:rsidR="00E75AD8">
        <w:t xml:space="preserve">ATAC </w:t>
      </w:r>
      <w:r w:rsidR="00E75AD8" w:rsidRPr="00E75AD8">
        <w:t xml:space="preserve">differential probes </w:t>
      </w:r>
      <w:r w:rsidR="00E75AD8">
        <w:t>replicated mostly</w:t>
      </w:r>
      <w:r w:rsidR="00E75AD8" w:rsidRPr="00E75AD8">
        <w:t xml:space="preserve"> </w:t>
      </w:r>
      <w:r w:rsidR="00E75AD8">
        <w:t>seven times.</w:t>
      </w:r>
    </w:p>
    <w:p w14:paraId="4270AC2A" w14:textId="3ECD0ADC" w:rsidR="00D754A3" w:rsidRDefault="00D754A3" w:rsidP="00D754A3">
      <w:pPr>
        <w:ind w:left="360"/>
      </w:pPr>
      <w:r>
        <w:t xml:space="preserve">The control probes are used by FE to estimate backgrounds, correct for spatial nonuniformities, and compute various array QC metrics. They are not used by </w:t>
      </w:r>
      <w:proofErr w:type="spellStart"/>
      <w:r>
        <w:t>ATACanalysis</w:t>
      </w:r>
      <w:proofErr w:type="spellEnd"/>
      <w:r>
        <w:t xml:space="preserve">. The CGH backbone probes are high quality probes from a standard sparse tiling of the whole genome. They are used to estimate intraarray reproducibility and to center log ratios. The ATAC probes are probes in Agilent’s genomic probe database that overlap regions designated by Surajit Dhara et al as interesting regions. All probes in the Agilent database scoring 0.4 or above in the specified regions were chosen. Many of these probes have never before been empirically tested, and are expected to include many </w:t>
      </w:r>
      <w:r w:rsidR="00D6610C">
        <w:t xml:space="preserve">probes </w:t>
      </w:r>
      <w:r>
        <w:t xml:space="preserve">of significantly lower quality than the CGH backbone probes (low quality probes are generally those that cross hybridize to nontargeted regions of the genome, thus diluting the signal </w:t>
      </w:r>
      <w:r>
        <w:lastRenderedPageBreak/>
        <w:t>from targeted regions</w:t>
      </w:r>
      <w:r w:rsidR="0078766F">
        <w:t xml:space="preserve"> and compressing log ratios</w:t>
      </w:r>
      <w:r w:rsidR="0043676D">
        <w:t xml:space="preserve">, The Agilent database scores probes by their predicted quality, but the scores </w:t>
      </w:r>
      <w:r w:rsidR="00967A03">
        <w:t xml:space="preserve">of untested probes </w:t>
      </w:r>
      <w:r w:rsidR="0043676D">
        <w:t>are not always reliable</w:t>
      </w:r>
      <w:r>
        <w:t>). Probes to the ATAC control regions</w:t>
      </w:r>
      <w:r w:rsidR="003A5CD3">
        <w:t xml:space="preserve"> </w:t>
      </w:r>
      <w:r>
        <w:t>are expected to be accessible in all patient samples,</w:t>
      </w:r>
      <w:r w:rsidR="003A5CD3">
        <w:t xml:space="preserve"> </w:t>
      </w:r>
      <w:r w:rsidR="006D6559">
        <w:t>whereas</w:t>
      </w:r>
      <w:r w:rsidR="003A5CD3">
        <w:t xml:space="preserve"> p</w:t>
      </w:r>
      <w:r>
        <w:t>robes to the ATAC differential regions are expected to be differentially accessible in different patient samples.</w:t>
      </w:r>
    </w:p>
    <w:p w14:paraId="1BDC973E" w14:textId="2AD7E35B" w:rsidR="003A5CD3" w:rsidRDefault="004B7DA0" w:rsidP="00D754A3">
      <w:pPr>
        <w:ind w:left="360"/>
      </w:pPr>
      <w:r>
        <w:t>Now that data</w:t>
      </w:r>
      <w:r w:rsidR="00992D71">
        <w:t xml:space="preserve"> </w:t>
      </w:r>
      <w:r>
        <w:t>from this array design</w:t>
      </w:r>
      <w:r w:rsidR="00992D71">
        <w:t xml:space="preserve"> Is available</w:t>
      </w:r>
      <w:r>
        <w:t>, we can cull the more poorly performing ATAC probes in a followup v2 design. The control grid and CGH backbone probes are unlikely to change significantly, while there will be fewer ATAC probes replicated more frequently.</w:t>
      </w:r>
    </w:p>
    <w:p w14:paraId="39666070" w14:textId="77777777" w:rsidR="004B7DA0" w:rsidRDefault="004B7DA0" w:rsidP="00D754A3">
      <w:pPr>
        <w:ind w:left="360"/>
      </w:pPr>
    </w:p>
    <w:sectPr w:rsidR="004B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ilent TT CondLight">
    <w:panose1 w:val="020B0306020002020203"/>
    <w:charset w:val="00"/>
    <w:family w:val="swiss"/>
    <w:pitch w:val="variable"/>
    <w:sig w:usb0="00000287" w:usb1="00000000" w:usb2="00000000" w:usb3="00000000" w:csb0="0000009F" w:csb1="00000000"/>
  </w:font>
  <w:font w:name="Agilent TT Cond">
    <w:panose1 w:val="020B0606020002020203"/>
    <w:charset w:val="00"/>
    <w:family w:val="swiss"/>
    <w:pitch w:val="variable"/>
    <w:sig w:usb0="00000287" w:usb1="00000000" w:usb2="00000000" w:usb3="00000000" w:csb0="0000009F" w:csb1="00000000"/>
  </w:font>
  <w:font w:name="AgltCentITC TT">
    <w:panose1 w:val="020406040507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22A"/>
    <w:multiLevelType w:val="hybridMultilevel"/>
    <w:tmpl w:val="CD025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3F7F"/>
    <w:multiLevelType w:val="hybridMultilevel"/>
    <w:tmpl w:val="FA38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409AE"/>
    <w:multiLevelType w:val="hybridMultilevel"/>
    <w:tmpl w:val="877E6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BBEABB14"/>
    <w:lvl w:ilvl="0">
      <w:start w:val="1"/>
      <w:numFmt w:val="decimal"/>
      <w:pStyle w:val="Heading1"/>
      <w:lvlText w:val="%1"/>
      <w:lvlJc w:val="left"/>
      <w:pPr>
        <w:ind w:left="432" w:hanging="432"/>
      </w:pPr>
    </w:lvl>
    <w:lvl w:ilvl="1">
      <w:start w:val="1"/>
      <w:numFmt w:val="decimal"/>
      <w:pStyle w:val="Heading2"/>
      <w:lvlText w:val="%1.%2"/>
      <w:lvlJc w:val="left"/>
      <w:pPr>
        <w:ind w:left="39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FAE2ABA"/>
    <w:multiLevelType w:val="hybridMultilevel"/>
    <w:tmpl w:val="EC1EFA66"/>
    <w:lvl w:ilvl="0" w:tplc="2A2427C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26275"/>
    <w:multiLevelType w:val="hybridMultilevel"/>
    <w:tmpl w:val="F6F8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D7C50"/>
    <w:multiLevelType w:val="hybridMultilevel"/>
    <w:tmpl w:val="C87C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65CEA"/>
    <w:multiLevelType w:val="hybridMultilevel"/>
    <w:tmpl w:val="C87CE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71C24"/>
    <w:multiLevelType w:val="hybridMultilevel"/>
    <w:tmpl w:val="727C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67B6A"/>
    <w:multiLevelType w:val="hybridMultilevel"/>
    <w:tmpl w:val="71E6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2"/>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4C"/>
    <w:rsid w:val="0000159E"/>
    <w:rsid w:val="000066D9"/>
    <w:rsid w:val="000071B7"/>
    <w:rsid w:val="00010399"/>
    <w:rsid w:val="00011420"/>
    <w:rsid w:val="00012F8A"/>
    <w:rsid w:val="00014FE3"/>
    <w:rsid w:val="0001662E"/>
    <w:rsid w:val="00030BCE"/>
    <w:rsid w:val="000403CC"/>
    <w:rsid w:val="000457CB"/>
    <w:rsid w:val="00047295"/>
    <w:rsid w:val="00047CD0"/>
    <w:rsid w:val="00047DFA"/>
    <w:rsid w:val="00050252"/>
    <w:rsid w:val="00055048"/>
    <w:rsid w:val="000561B5"/>
    <w:rsid w:val="000562B6"/>
    <w:rsid w:val="00060804"/>
    <w:rsid w:val="000726B8"/>
    <w:rsid w:val="00073B38"/>
    <w:rsid w:val="00076A4C"/>
    <w:rsid w:val="000820D1"/>
    <w:rsid w:val="00093EC0"/>
    <w:rsid w:val="00095067"/>
    <w:rsid w:val="000A0FA9"/>
    <w:rsid w:val="000A37A7"/>
    <w:rsid w:val="000A3DDC"/>
    <w:rsid w:val="000A3E29"/>
    <w:rsid w:val="000A6975"/>
    <w:rsid w:val="000B624C"/>
    <w:rsid w:val="000C46B0"/>
    <w:rsid w:val="000C74F5"/>
    <w:rsid w:val="000D0172"/>
    <w:rsid w:val="000D35B2"/>
    <w:rsid w:val="000D5207"/>
    <w:rsid w:val="000D7443"/>
    <w:rsid w:val="000E3727"/>
    <w:rsid w:val="000E46FF"/>
    <w:rsid w:val="000E6A3B"/>
    <w:rsid w:val="000E7D8C"/>
    <w:rsid w:val="000F79EA"/>
    <w:rsid w:val="001008E3"/>
    <w:rsid w:val="00110B03"/>
    <w:rsid w:val="001167BC"/>
    <w:rsid w:val="00117452"/>
    <w:rsid w:val="00121E64"/>
    <w:rsid w:val="001226DD"/>
    <w:rsid w:val="001242C6"/>
    <w:rsid w:val="00124462"/>
    <w:rsid w:val="0012493A"/>
    <w:rsid w:val="001261F7"/>
    <w:rsid w:val="0012675B"/>
    <w:rsid w:val="00126920"/>
    <w:rsid w:val="00126C5F"/>
    <w:rsid w:val="001338A9"/>
    <w:rsid w:val="00133AC9"/>
    <w:rsid w:val="00136153"/>
    <w:rsid w:val="00140C8E"/>
    <w:rsid w:val="00154697"/>
    <w:rsid w:val="00157C76"/>
    <w:rsid w:val="00160962"/>
    <w:rsid w:val="00163C44"/>
    <w:rsid w:val="00163C47"/>
    <w:rsid w:val="001674BE"/>
    <w:rsid w:val="00176713"/>
    <w:rsid w:val="001845E1"/>
    <w:rsid w:val="00186AF9"/>
    <w:rsid w:val="00190341"/>
    <w:rsid w:val="001A2158"/>
    <w:rsid w:val="001B15E8"/>
    <w:rsid w:val="001C1984"/>
    <w:rsid w:val="001C1F3D"/>
    <w:rsid w:val="001C394A"/>
    <w:rsid w:val="001D0353"/>
    <w:rsid w:val="001D27E3"/>
    <w:rsid w:val="001D4D78"/>
    <w:rsid w:val="001E39F5"/>
    <w:rsid w:val="001E6256"/>
    <w:rsid w:val="001E78A7"/>
    <w:rsid w:val="00200980"/>
    <w:rsid w:val="00200DBB"/>
    <w:rsid w:val="00202C61"/>
    <w:rsid w:val="0020394A"/>
    <w:rsid w:val="00205491"/>
    <w:rsid w:val="00206E13"/>
    <w:rsid w:val="00211ED6"/>
    <w:rsid w:val="002162AA"/>
    <w:rsid w:val="00224CDD"/>
    <w:rsid w:val="00225286"/>
    <w:rsid w:val="00227002"/>
    <w:rsid w:val="00233894"/>
    <w:rsid w:val="00241C82"/>
    <w:rsid w:val="0024211F"/>
    <w:rsid w:val="0025095D"/>
    <w:rsid w:val="00251626"/>
    <w:rsid w:val="00254C19"/>
    <w:rsid w:val="0026457F"/>
    <w:rsid w:val="00265809"/>
    <w:rsid w:val="002705BE"/>
    <w:rsid w:val="00273EC4"/>
    <w:rsid w:val="002811F8"/>
    <w:rsid w:val="00290DDC"/>
    <w:rsid w:val="002938F0"/>
    <w:rsid w:val="00293A39"/>
    <w:rsid w:val="002A01C1"/>
    <w:rsid w:val="002A0233"/>
    <w:rsid w:val="002A04BC"/>
    <w:rsid w:val="002A16C9"/>
    <w:rsid w:val="002A3406"/>
    <w:rsid w:val="002B1BEF"/>
    <w:rsid w:val="002B6D4C"/>
    <w:rsid w:val="002B6F46"/>
    <w:rsid w:val="002B706D"/>
    <w:rsid w:val="002C0083"/>
    <w:rsid w:val="002D45C5"/>
    <w:rsid w:val="002D77ED"/>
    <w:rsid w:val="002E2C9A"/>
    <w:rsid w:val="002F76F6"/>
    <w:rsid w:val="00300638"/>
    <w:rsid w:val="00306DE3"/>
    <w:rsid w:val="003075AC"/>
    <w:rsid w:val="00312BAC"/>
    <w:rsid w:val="00315F03"/>
    <w:rsid w:val="00316313"/>
    <w:rsid w:val="00317EF6"/>
    <w:rsid w:val="00321C9F"/>
    <w:rsid w:val="003252B0"/>
    <w:rsid w:val="00326109"/>
    <w:rsid w:val="003322AA"/>
    <w:rsid w:val="00334EED"/>
    <w:rsid w:val="003366A2"/>
    <w:rsid w:val="00336A40"/>
    <w:rsid w:val="0034351A"/>
    <w:rsid w:val="00347FEA"/>
    <w:rsid w:val="003521AA"/>
    <w:rsid w:val="0036188F"/>
    <w:rsid w:val="00367DA9"/>
    <w:rsid w:val="003763CE"/>
    <w:rsid w:val="00386E8E"/>
    <w:rsid w:val="0039564E"/>
    <w:rsid w:val="003973AD"/>
    <w:rsid w:val="003A0D65"/>
    <w:rsid w:val="003A11AB"/>
    <w:rsid w:val="003A3F52"/>
    <w:rsid w:val="003A5CD3"/>
    <w:rsid w:val="003B00CA"/>
    <w:rsid w:val="003B0E55"/>
    <w:rsid w:val="003B2C90"/>
    <w:rsid w:val="003B3C60"/>
    <w:rsid w:val="003C389F"/>
    <w:rsid w:val="003C7104"/>
    <w:rsid w:val="003D3E94"/>
    <w:rsid w:val="003D5B94"/>
    <w:rsid w:val="003E1B5C"/>
    <w:rsid w:val="003E6814"/>
    <w:rsid w:val="003E7EEC"/>
    <w:rsid w:val="003F19EF"/>
    <w:rsid w:val="003F678D"/>
    <w:rsid w:val="00401315"/>
    <w:rsid w:val="00402B5A"/>
    <w:rsid w:val="00405C82"/>
    <w:rsid w:val="00410829"/>
    <w:rsid w:val="00414134"/>
    <w:rsid w:val="004154CE"/>
    <w:rsid w:val="00416483"/>
    <w:rsid w:val="00417A64"/>
    <w:rsid w:val="00417B29"/>
    <w:rsid w:val="0042005D"/>
    <w:rsid w:val="004205D1"/>
    <w:rsid w:val="00422E63"/>
    <w:rsid w:val="004258A1"/>
    <w:rsid w:val="0043648A"/>
    <w:rsid w:val="0043676D"/>
    <w:rsid w:val="00445A00"/>
    <w:rsid w:val="00447662"/>
    <w:rsid w:val="0045228D"/>
    <w:rsid w:val="00455653"/>
    <w:rsid w:val="00456246"/>
    <w:rsid w:val="004568F4"/>
    <w:rsid w:val="004618D5"/>
    <w:rsid w:val="00474C0C"/>
    <w:rsid w:val="00484318"/>
    <w:rsid w:val="004862B9"/>
    <w:rsid w:val="00487F0C"/>
    <w:rsid w:val="00493BEB"/>
    <w:rsid w:val="004A0895"/>
    <w:rsid w:val="004A1176"/>
    <w:rsid w:val="004A5263"/>
    <w:rsid w:val="004A54C7"/>
    <w:rsid w:val="004B0C21"/>
    <w:rsid w:val="004B3660"/>
    <w:rsid w:val="004B4CD9"/>
    <w:rsid w:val="004B76EB"/>
    <w:rsid w:val="004B79EE"/>
    <w:rsid w:val="004B7DA0"/>
    <w:rsid w:val="004C113A"/>
    <w:rsid w:val="004C5F48"/>
    <w:rsid w:val="004D0FEB"/>
    <w:rsid w:val="004D2CB7"/>
    <w:rsid w:val="004E22B2"/>
    <w:rsid w:val="004E32E2"/>
    <w:rsid w:val="004E3CE6"/>
    <w:rsid w:val="004E7768"/>
    <w:rsid w:val="004F1863"/>
    <w:rsid w:val="004F2FBF"/>
    <w:rsid w:val="004F53F2"/>
    <w:rsid w:val="00500859"/>
    <w:rsid w:val="00500BD8"/>
    <w:rsid w:val="0050238C"/>
    <w:rsid w:val="0052461A"/>
    <w:rsid w:val="005260D6"/>
    <w:rsid w:val="00534405"/>
    <w:rsid w:val="005346CC"/>
    <w:rsid w:val="005358B2"/>
    <w:rsid w:val="0054004B"/>
    <w:rsid w:val="00544D7A"/>
    <w:rsid w:val="005550D0"/>
    <w:rsid w:val="005642E4"/>
    <w:rsid w:val="00565680"/>
    <w:rsid w:val="00573CE6"/>
    <w:rsid w:val="005770FE"/>
    <w:rsid w:val="005839D7"/>
    <w:rsid w:val="005873DF"/>
    <w:rsid w:val="00591742"/>
    <w:rsid w:val="00594CC4"/>
    <w:rsid w:val="00597EB7"/>
    <w:rsid w:val="005A75DF"/>
    <w:rsid w:val="005A79B8"/>
    <w:rsid w:val="005C06BB"/>
    <w:rsid w:val="005C1874"/>
    <w:rsid w:val="005C7B6C"/>
    <w:rsid w:val="005D28C5"/>
    <w:rsid w:val="005E2440"/>
    <w:rsid w:val="005E6062"/>
    <w:rsid w:val="005E7F7A"/>
    <w:rsid w:val="005F09BE"/>
    <w:rsid w:val="005F1D1C"/>
    <w:rsid w:val="005F1EE2"/>
    <w:rsid w:val="005F2222"/>
    <w:rsid w:val="005F70E7"/>
    <w:rsid w:val="00600B78"/>
    <w:rsid w:val="00601B0C"/>
    <w:rsid w:val="00601E6D"/>
    <w:rsid w:val="006024B5"/>
    <w:rsid w:val="006062E1"/>
    <w:rsid w:val="00611D4C"/>
    <w:rsid w:val="00633500"/>
    <w:rsid w:val="00636222"/>
    <w:rsid w:val="0064448D"/>
    <w:rsid w:val="006466D6"/>
    <w:rsid w:val="00652CBA"/>
    <w:rsid w:val="00657B15"/>
    <w:rsid w:val="00661E1D"/>
    <w:rsid w:val="00676BC3"/>
    <w:rsid w:val="00684026"/>
    <w:rsid w:val="00684FC2"/>
    <w:rsid w:val="00685739"/>
    <w:rsid w:val="00687493"/>
    <w:rsid w:val="00693980"/>
    <w:rsid w:val="006A0F28"/>
    <w:rsid w:val="006A32B6"/>
    <w:rsid w:val="006A3344"/>
    <w:rsid w:val="006A3F87"/>
    <w:rsid w:val="006A3FD2"/>
    <w:rsid w:val="006A47C1"/>
    <w:rsid w:val="006B157D"/>
    <w:rsid w:val="006B1781"/>
    <w:rsid w:val="006B1D90"/>
    <w:rsid w:val="006B7BB5"/>
    <w:rsid w:val="006D01F2"/>
    <w:rsid w:val="006D6559"/>
    <w:rsid w:val="006E0E87"/>
    <w:rsid w:val="006E1070"/>
    <w:rsid w:val="006E2054"/>
    <w:rsid w:val="006F10C6"/>
    <w:rsid w:val="006F65D9"/>
    <w:rsid w:val="006F7FA7"/>
    <w:rsid w:val="00700B5F"/>
    <w:rsid w:val="00706490"/>
    <w:rsid w:val="00707A41"/>
    <w:rsid w:val="00707C7B"/>
    <w:rsid w:val="0071090F"/>
    <w:rsid w:val="0071407D"/>
    <w:rsid w:val="00715A9D"/>
    <w:rsid w:val="00716188"/>
    <w:rsid w:val="0071639E"/>
    <w:rsid w:val="0072094B"/>
    <w:rsid w:val="007212BC"/>
    <w:rsid w:val="00724AD2"/>
    <w:rsid w:val="00732801"/>
    <w:rsid w:val="00732F3B"/>
    <w:rsid w:val="007346C0"/>
    <w:rsid w:val="00753DB5"/>
    <w:rsid w:val="007653C3"/>
    <w:rsid w:val="007704BE"/>
    <w:rsid w:val="00775712"/>
    <w:rsid w:val="0077689E"/>
    <w:rsid w:val="0078766F"/>
    <w:rsid w:val="00787873"/>
    <w:rsid w:val="0079427C"/>
    <w:rsid w:val="00795121"/>
    <w:rsid w:val="00796DD6"/>
    <w:rsid w:val="007970C6"/>
    <w:rsid w:val="00797893"/>
    <w:rsid w:val="00797DD9"/>
    <w:rsid w:val="007A4152"/>
    <w:rsid w:val="007A55B2"/>
    <w:rsid w:val="007A5A1E"/>
    <w:rsid w:val="007A5BB7"/>
    <w:rsid w:val="007B572B"/>
    <w:rsid w:val="007B5EE7"/>
    <w:rsid w:val="007C610E"/>
    <w:rsid w:val="007E1C2F"/>
    <w:rsid w:val="007E4439"/>
    <w:rsid w:val="007E55A8"/>
    <w:rsid w:val="007F0B4D"/>
    <w:rsid w:val="007F3C30"/>
    <w:rsid w:val="007F4153"/>
    <w:rsid w:val="007F66C4"/>
    <w:rsid w:val="007F7DC0"/>
    <w:rsid w:val="008000CF"/>
    <w:rsid w:val="00800F74"/>
    <w:rsid w:val="00803E17"/>
    <w:rsid w:val="008139EC"/>
    <w:rsid w:val="0081552F"/>
    <w:rsid w:val="00816323"/>
    <w:rsid w:val="00816800"/>
    <w:rsid w:val="00820AE5"/>
    <w:rsid w:val="00830C0E"/>
    <w:rsid w:val="00831ED3"/>
    <w:rsid w:val="0084223B"/>
    <w:rsid w:val="00845A0C"/>
    <w:rsid w:val="008463A0"/>
    <w:rsid w:val="008569A3"/>
    <w:rsid w:val="00856DCD"/>
    <w:rsid w:val="0086536D"/>
    <w:rsid w:val="0086609D"/>
    <w:rsid w:val="008715B1"/>
    <w:rsid w:val="0087207E"/>
    <w:rsid w:val="0088113D"/>
    <w:rsid w:val="00881A04"/>
    <w:rsid w:val="00881A3B"/>
    <w:rsid w:val="00886DC2"/>
    <w:rsid w:val="0089502C"/>
    <w:rsid w:val="008A61CA"/>
    <w:rsid w:val="008B3380"/>
    <w:rsid w:val="008C2E88"/>
    <w:rsid w:val="008C5926"/>
    <w:rsid w:val="008C721F"/>
    <w:rsid w:val="008C7254"/>
    <w:rsid w:val="008D5C6B"/>
    <w:rsid w:val="008D6420"/>
    <w:rsid w:val="008D7062"/>
    <w:rsid w:val="008E016B"/>
    <w:rsid w:val="008E0195"/>
    <w:rsid w:val="008E6122"/>
    <w:rsid w:val="008F175C"/>
    <w:rsid w:val="008F19A4"/>
    <w:rsid w:val="008F7DA3"/>
    <w:rsid w:val="00901174"/>
    <w:rsid w:val="00901F05"/>
    <w:rsid w:val="009048AE"/>
    <w:rsid w:val="00906F7E"/>
    <w:rsid w:val="00907677"/>
    <w:rsid w:val="0090782B"/>
    <w:rsid w:val="009115F0"/>
    <w:rsid w:val="00912933"/>
    <w:rsid w:val="00912BF6"/>
    <w:rsid w:val="00913627"/>
    <w:rsid w:val="00914FC0"/>
    <w:rsid w:val="00915C4C"/>
    <w:rsid w:val="00921899"/>
    <w:rsid w:val="00923984"/>
    <w:rsid w:val="0092649C"/>
    <w:rsid w:val="00934F3B"/>
    <w:rsid w:val="00936E13"/>
    <w:rsid w:val="0094011D"/>
    <w:rsid w:val="009402A5"/>
    <w:rsid w:val="009412A0"/>
    <w:rsid w:val="009425D0"/>
    <w:rsid w:val="00943237"/>
    <w:rsid w:val="00944FD7"/>
    <w:rsid w:val="009460A2"/>
    <w:rsid w:val="009534F8"/>
    <w:rsid w:val="0095731A"/>
    <w:rsid w:val="00966860"/>
    <w:rsid w:val="00966FFB"/>
    <w:rsid w:val="00967A03"/>
    <w:rsid w:val="00976782"/>
    <w:rsid w:val="00984756"/>
    <w:rsid w:val="00992D71"/>
    <w:rsid w:val="00992E6D"/>
    <w:rsid w:val="009A3D94"/>
    <w:rsid w:val="009A4FB5"/>
    <w:rsid w:val="009A5B17"/>
    <w:rsid w:val="009C0144"/>
    <w:rsid w:val="009C1E0D"/>
    <w:rsid w:val="009C58F1"/>
    <w:rsid w:val="009C7933"/>
    <w:rsid w:val="009D011C"/>
    <w:rsid w:val="009D062F"/>
    <w:rsid w:val="009D3C34"/>
    <w:rsid w:val="009D46AE"/>
    <w:rsid w:val="009E4966"/>
    <w:rsid w:val="009E64E9"/>
    <w:rsid w:val="009E784C"/>
    <w:rsid w:val="009F3D44"/>
    <w:rsid w:val="009F4121"/>
    <w:rsid w:val="009F4493"/>
    <w:rsid w:val="009F5349"/>
    <w:rsid w:val="009F5D04"/>
    <w:rsid w:val="00A0274C"/>
    <w:rsid w:val="00A045DE"/>
    <w:rsid w:val="00A14F64"/>
    <w:rsid w:val="00A17747"/>
    <w:rsid w:val="00A177E3"/>
    <w:rsid w:val="00A20140"/>
    <w:rsid w:val="00A23D56"/>
    <w:rsid w:val="00A3512B"/>
    <w:rsid w:val="00A37FFE"/>
    <w:rsid w:val="00A41B9D"/>
    <w:rsid w:val="00A43CE8"/>
    <w:rsid w:val="00A46F7E"/>
    <w:rsid w:val="00A60226"/>
    <w:rsid w:val="00A621D7"/>
    <w:rsid w:val="00A62381"/>
    <w:rsid w:val="00A62EEE"/>
    <w:rsid w:val="00A64F06"/>
    <w:rsid w:val="00A67210"/>
    <w:rsid w:val="00A76584"/>
    <w:rsid w:val="00A801E9"/>
    <w:rsid w:val="00A8711A"/>
    <w:rsid w:val="00A90438"/>
    <w:rsid w:val="00A913C0"/>
    <w:rsid w:val="00A964A1"/>
    <w:rsid w:val="00AA00DF"/>
    <w:rsid w:val="00AA29EC"/>
    <w:rsid w:val="00AA2F1B"/>
    <w:rsid w:val="00AA4165"/>
    <w:rsid w:val="00AB1E12"/>
    <w:rsid w:val="00AB1F79"/>
    <w:rsid w:val="00AB26DF"/>
    <w:rsid w:val="00AB2D1C"/>
    <w:rsid w:val="00AB6A8E"/>
    <w:rsid w:val="00AC1375"/>
    <w:rsid w:val="00AC39B4"/>
    <w:rsid w:val="00AC3A3E"/>
    <w:rsid w:val="00AD07DD"/>
    <w:rsid w:val="00AE26F1"/>
    <w:rsid w:val="00AE2FCC"/>
    <w:rsid w:val="00AF4698"/>
    <w:rsid w:val="00B0200D"/>
    <w:rsid w:val="00B03A13"/>
    <w:rsid w:val="00B065E7"/>
    <w:rsid w:val="00B1188E"/>
    <w:rsid w:val="00B260C1"/>
    <w:rsid w:val="00B3122E"/>
    <w:rsid w:val="00B3798B"/>
    <w:rsid w:val="00B42606"/>
    <w:rsid w:val="00B5053C"/>
    <w:rsid w:val="00B50F2D"/>
    <w:rsid w:val="00B5350C"/>
    <w:rsid w:val="00B53F42"/>
    <w:rsid w:val="00B55BAD"/>
    <w:rsid w:val="00B62558"/>
    <w:rsid w:val="00B62F1E"/>
    <w:rsid w:val="00B679C4"/>
    <w:rsid w:val="00B70080"/>
    <w:rsid w:val="00B7147E"/>
    <w:rsid w:val="00B72814"/>
    <w:rsid w:val="00B72EA9"/>
    <w:rsid w:val="00B758CD"/>
    <w:rsid w:val="00B81733"/>
    <w:rsid w:val="00B8528C"/>
    <w:rsid w:val="00B924D3"/>
    <w:rsid w:val="00B94C8A"/>
    <w:rsid w:val="00BA513A"/>
    <w:rsid w:val="00BA53C5"/>
    <w:rsid w:val="00BA5992"/>
    <w:rsid w:val="00BA5DA3"/>
    <w:rsid w:val="00BA6826"/>
    <w:rsid w:val="00BA7A2F"/>
    <w:rsid w:val="00BB22F3"/>
    <w:rsid w:val="00BB48A9"/>
    <w:rsid w:val="00BB5ACF"/>
    <w:rsid w:val="00BB7F94"/>
    <w:rsid w:val="00BC0B28"/>
    <w:rsid w:val="00BC7376"/>
    <w:rsid w:val="00BD1E75"/>
    <w:rsid w:val="00C01C06"/>
    <w:rsid w:val="00C0366B"/>
    <w:rsid w:val="00C1476C"/>
    <w:rsid w:val="00C22541"/>
    <w:rsid w:val="00C3288C"/>
    <w:rsid w:val="00C34376"/>
    <w:rsid w:val="00C37B7B"/>
    <w:rsid w:val="00C42038"/>
    <w:rsid w:val="00C45418"/>
    <w:rsid w:val="00C555AB"/>
    <w:rsid w:val="00C574B4"/>
    <w:rsid w:val="00C57A6C"/>
    <w:rsid w:val="00C57D68"/>
    <w:rsid w:val="00C606BF"/>
    <w:rsid w:val="00C70478"/>
    <w:rsid w:val="00C71ECC"/>
    <w:rsid w:val="00C751E4"/>
    <w:rsid w:val="00C81413"/>
    <w:rsid w:val="00C8345C"/>
    <w:rsid w:val="00C864FD"/>
    <w:rsid w:val="00C87C6F"/>
    <w:rsid w:val="00C91068"/>
    <w:rsid w:val="00C93A3B"/>
    <w:rsid w:val="00C94532"/>
    <w:rsid w:val="00C97D71"/>
    <w:rsid w:val="00CA1694"/>
    <w:rsid w:val="00CA24BA"/>
    <w:rsid w:val="00CA6273"/>
    <w:rsid w:val="00CA6F52"/>
    <w:rsid w:val="00CB3040"/>
    <w:rsid w:val="00CB4049"/>
    <w:rsid w:val="00CB6AF1"/>
    <w:rsid w:val="00CC1A01"/>
    <w:rsid w:val="00CC523E"/>
    <w:rsid w:val="00CC772E"/>
    <w:rsid w:val="00CD062D"/>
    <w:rsid w:val="00CE0A9D"/>
    <w:rsid w:val="00CE2B0E"/>
    <w:rsid w:val="00CE2E63"/>
    <w:rsid w:val="00CF1BDA"/>
    <w:rsid w:val="00CF32CF"/>
    <w:rsid w:val="00CF5524"/>
    <w:rsid w:val="00CF5736"/>
    <w:rsid w:val="00CF69DC"/>
    <w:rsid w:val="00CF6D04"/>
    <w:rsid w:val="00D0024F"/>
    <w:rsid w:val="00D019D9"/>
    <w:rsid w:val="00D0278A"/>
    <w:rsid w:val="00D02800"/>
    <w:rsid w:val="00D1390B"/>
    <w:rsid w:val="00D211C0"/>
    <w:rsid w:val="00D2609E"/>
    <w:rsid w:val="00D30374"/>
    <w:rsid w:val="00D30A45"/>
    <w:rsid w:val="00D34265"/>
    <w:rsid w:val="00D35D6F"/>
    <w:rsid w:val="00D367D6"/>
    <w:rsid w:val="00D37FA3"/>
    <w:rsid w:val="00D426A4"/>
    <w:rsid w:val="00D4338F"/>
    <w:rsid w:val="00D463FC"/>
    <w:rsid w:val="00D469BD"/>
    <w:rsid w:val="00D5466E"/>
    <w:rsid w:val="00D54935"/>
    <w:rsid w:val="00D550FD"/>
    <w:rsid w:val="00D55C53"/>
    <w:rsid w:val="00D60B93"/>
    <w:rsid w:val="00D6610C"/>
    <w:rsid w:val="00D70581"/>
    <w:rsid w:val="00D708AA"/>
    <w:rsid w:val="00D732DF"/>
    <w:rsid w:val="00D754A3"/>
    <w:rsid w:val="00D879B3"/>
    <w:rsid w:val="00D961FF"/>
    <w:rsid w:val="00DA0E1E"/>
    <w:rsid w:val="00DA4AC7"/>
    <w:rsid w:val="00DA4EEB"/>
    <w:rsid w:val="00DB643C"/>
    <w:rsid w:val="00DC090E"/>
    <w:rsid w:val="00DC0D2F"/>
    <w:rsid w:val="00DC421C"/>
    <w:rsid w:val="00DC5F33"/>
    <w:rsid w:val="00DE1458"/>
    <w:rsid w:val="00DE3699"/>
    <w:rsid w:val="00DE52A2"/>
    <w:rsid w:val="00DE7198"/>
    <w:rsid w:val="00DF0D77"/>
    <w:rsid w:val="00DF77E7"/>
    <w:rsid w:val="00E02CA2"/>
    <w:rsid w:val="00E07BD4"/>
    <w:rsid w:val="00E10360"/>
    <w:rsid w:val="00E1256A"/>
    <w:rsid w:val="00E138AF"/>
    <w:rsid w:val="00E13EB8"/>
    <w:rsid w:val="00E1642D"/>
    <w:rsid w:val="00E17C62"/>
    <w:rsid w:val="00E233BB"/>
    <w:rsid w:val="00E23A9D"/>
    <w:rsid w:val="00E322E9"/>
    <w:rsid w:val="00E37B8F"/>
    <w:rsid w:val="00E40AFD"/>
    <w:rsid w:val="00E41FBC"/>
    <w:rsid w:val="00E4497B"/>
    <w:rsid w:val="00E45610"/>
    <w:rsid w:val="00E4633B"/>
    <w:rsid w:val="00E474EF"/>
    <w:rsid w:val="00E52E4D"/>
    <w:rsid w:val="00E54D5F"/>
    <w:rsid w:val="00E56689"/>
    <w:rsid w:val="00E72ECC"/>
    <w:rsid w:val="00E75AD8"/>
    <w:rsid w:val="00E8371C"/>
    <w:rsid w:val="00E85625"/>
    <w:rsid w:val="00E85C4B"/>
    <w:rsid w:val="00E91D1C"/>
    <w:rsid w:val="00E95059"/>
    <w:rsid w:val="00E9651C"/>
    <w:rsid w:val="00E96E95"/>
    <w:rsid w:val="00EB236E"/>
    <w:rsid w:val="00EB5CC0"/>
    <w:rsid w:val="00EB6C1C"/>
    <w:rsid w:val="00EC1D0B"/>
    <w:rsid w:val="00EC39F4"/>
    <w:rsid w:val="00EC4CAB"/>
    <w:rsid w:val="00ED5C86"/>
    <w:rsid w:val="00ED61A2"/>
    <w:rsid w:val="00EE4156"/>
    <w:rsid w:val="00EE4E17"/>
    <w:rsid w:val="00EE5285"/>
    <w:rsid w:val="00EE618F"/>
    <w:rsid w:val="00EE7CE6"/>
    <w:rsid w:val="00EF1CFA"/>
    <w:rsid w:val="00EF602A"/>
    <w:rsid w:val="00EF74B9"/>
    <w:rsid w:val="00F0335B"/>
    <w:rsid w:val="00F03685"/>
    <w:rsid w:val="00F03687"/>
    <w:rsid w:val="00F06F2B"/>
    <w:rsid w:val="00F10EA8"/>
    <w:rsid w:val="00F11291"/>
    <w:rsid w:val="00F1186F"/>
    <w:rsid w:val="00F20598"/>
    <w:rsid w:val="00F20E54"/>
    <w:rsid w:val="00F2106B"/>
    <w:rsid w:val="00F26D94"/>
    <w:rsid w:val="00F4349D"/>
    <w:rsid w:val="00F53155"/>
    <w:rsid w:val="00F57CF8"/>
    <w:rsid w:val="00F63A8B"/>
    <w:rsid w:val="00F6765E"/>
    <w:rsid w:val="00F76787"/>
    <w:rsid w:val="00F8319F"/>
    <w:rsid w:val="00F906E4"/>
    <w:rsid w:val="00F91257"/>
    <w:rsid w:val="00F939A6"/>
    <w:rsid w:val="00F97DF7"/>
    <w:rsid w:val="00FA2897"/>
    <w:rsid w:val="00FB273D"/>
    <w:rsid w:val="00FC34CE"/>
    <w:rsid w:val="00FC433D"/>
    <w:rsid w:val="00FC6DD8"/>
    <w:rsid w:val="00FD7F1C"/>
    <w:rsid w:val="00FE001E"/>
    <w:rsid w:val="00FE548E"/>
    <w:rsid w:val="00FE744A"/>
    <w:rsid w:val="00FF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D45"/>
  <w15:chartTrackingRefBased/>
  <w15:docId w15:val="{D00490EB-EFAA-424B-B47B-72F118F5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9C4"/>
  </w:style>
  <w:style w:type="paragraph" w:styleId="Heading1">
    <w:name w:val="heading 1"/>
    <w:basedOn w:val="Normal"/>
    <w:next w:val="Normal"/>
    <w:link w:val="Heading1Char"/>
    <w:uiPriority w:val="9"/>
    <w:qFormat/>
    <w:rsid w:val="00B679C4"/>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679C4"/>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679C4"/>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679C4"/>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679C4"/>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B679C4"/>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B679C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79C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79C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9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679C4"/>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611D4C"/>
    <w:pPr>
      <w:ind w:left="720"/>
      <w:contextualSpacing/>
    </w:pPr>
  </w:style>
  <w:style w:type="character" w:customStyle="1" w:styleId="Heading1Char">
    <w:name w:val="Heading 1 Char"/>
    <w:basedOn w:val="DefaultParagraphFont"/>
    <w:link w:val="Heading1"/>
    <w:uiPriority w:val="9"/>
    <w:rsid w:val="00B679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679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679C4"/>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597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ilentAddressDetail">
    <w:name w:val="Agilent Address Detail"/>
    <w:basedOn w:val="Normal"/>
    <w:rsid w:val="00B679C4"/>
    <w:pPr>
      <w:spacing w:after="0" w:line="200" w:lineRule="exact"/>
      <w:ind w:right="-90"/>
    </w:pPr>
    <w:rPr>
      <w:rFonts w:ascii="Agilent TT CondLight" w:eastAsia="Times New Roman" w:hAnsi="Agilent TT CondLight"/>
      <w:sz w:val="16"/>
      <w:szCs w:val="20"/>
    </w:rPr>
  </w:style>
  <w:style w:type="paragraph" w:customStyle="1" w:styleId="AgilentBodyText">
    <w:name w:val="Agilent Body Text"/>
    <w:basedOn w:val="Normal"/>
    <w:rsid w:val="00B679C4"/>
    <w:pPr>
      <w:spacing w:after="0" w:line="260" w:lineRule="exact"/>
    </w:pPr>
    <w:rPr>
      <w:rFonts w:ascii="Agilent TT Cond" w:eastAsia="Times New Roman" w:hAnsi="Agilent TT Cond"/>
      <w:sz w:val="19"/>
      <w:szCs w:val="20"/>
    </w:rPr>
  </w:style>
  <w:style w:type="paragraph" w:customStyle="1" w:styleId="AgilentHeadline">
    <w:name w:val="Agilent Headline"/>
    <w:basedOn w:val="AgilentAddressDetail"/>
    <w:autoRedefine/>
    <w:rsid w:val="00B679C4"/>
    <w:pPr>
      <w:spacing w:line="480" w:lineRule="exact"/>
      <w:ind w:right="0"/>
    </w:pPr>
    <w:rPr>
      <w:sz w:val="44"/>
    </w:rPr>
  </w:style>
  <w:style w:type="paragraph" w:customStyle="1" w:styleId="AgilentFooterText">
    <w:name w:val="Agilent Footer Text"/>
    <w:basedOn w:val="Normal"/>
    <w:rsid w:val="00B679C4"/>
    <w:pPr>
      <w:spacing w:after="0" w:line="140" w:lineRule="exact"/>
    </w:pPr>
    <w:rPr>
      <w:rFonts w:ascii="Agilent TT Cond" w:eastAsia="Times New Roman" w:hAnsi="Agilent TT Cond" w:cs="Courier New"/>
      <w:color w:val="000000"/>
      <w:sz w:val="12"/>
      <w:szCs w:val="12"/>
    </w:rPr>
  </w:style>
  <w:style w:type="paragraph" w:customStyle="1" w:styleId="AgilentOptionalBodyText250words">
    <w:name w:val="Agilent Optional Body Text (&gt; 250 words)"/>
    <w:basedOn w:val="Normal"/>
    <w:rsid w:val="00B679C4"/>
    <w:pPr>
      <w:spacing w:after="0" w:line="260" w:lineRule="exact"/>
    </w:pPr>
    <w:rPr>
      <w:rFonts w:ascii="AgltCentITC TT" w:hAnsi="AgltCentITC TT"/>
      <w:sz w:val="19"/>
      <w:szCs w:val="19"/>
    </w:rPr>
  </w:style>
  <w:style w:type="paragraph" w:customStyle="1" w:styleId="AgilentDocTitle">
    <w:name w:val="Agilent Doc Title"/>
    <w:next w:val="Normal"/>
    <w:autoRedefine/>
    <w:rsid w:val="00B679C4"/>
    <w:pPr>
      <w:spacing w:after="210" w:line="400" w:lineRule="exact"/>
    </w:pPr>
    <w:rPr>
      <w:rFonts w:ascii="Agilent TT CondLight" w:eastAsia="Times New Roman" w:hAnsi="Agilent TT CondLight"/>
      <w:sz w:val="36"/>
    </w:rPr>
  </w:style>
  <w:style w:type="paragraph" w:customStyle="1" w:styleId="AgilentSubhead">
    <w:name w:val="Agilent Subhead"/>
    <w:basedOn w:val="AgilentBodyText"/>
    <w:rsid w:val="00B679C4"/>
    <w:rPr>
      <w:b/>
    </w:rPr>
  </w:style>
  <w:style w:type="paragraph" w:customStyle="1" w:styleId="AgilentCommuniqueBody">
    <w:name w:val="Agilent Communique Body"/>
    <w:basedOn w:val="Normal"/>
    <w:autoRedefine/>
    <w:rsid w:val="00B679C4"/>
    <w:pPr>
      <w:spacing w:after="0" w:line="260" w:lineRule="exact"/>
    </w:pPr>
    <w:rPr>
      <w:rFonts w:ascii="AgltCentITC TT" w:hAnsi="AgltCentITC TT"/>
      <w:sz w:val="19"/>
      <w:szCs w:val="19"/>
    </w:rPr>
  </w:style>
  <w:style w:type="paragraph" w:customStyle="1" w:styleId="AgilentCommuniquePrompt">
    <w:name w:val="Agilent Communique Prompt"/>
    <w:basedOn w:val="AgilentCommuniqueBody"/>
    <w:rsid w:val="00B679C4"/>
    <w:pPr>
      <w:spacing w:after="210" w:line="240" w:lineRule="auto"/>
    </w:pPr>
  </w:style>
  <w:style w:type="character" w:customStyle="1" w:styleId="Heading4Char">
    <w:name w:val="Heading 4 Char"/>
    <w:basedOn w:val="DefaultParagraphFont"/>
    <w:link w:val="Heading4"/>
    <w:uiPriority w:val="9"/>
    <w:rsid w:val="00B679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679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B679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B679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79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79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79C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679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679C4"/>
    <w:rPr>
      <w:color w:val="5A5A5A" w:themeColor="text1" w:themeTint="A5"/>
      <w:spacing w:val="10"/>
    </w:rPr>
  </w:style>
  <w:style w:type="character" w:styleId="Strong">
    <w:name w:val="Strong"/>
    <w:basedOn w:val="DefaultParagraphFont"/>
    <w:uiPriority w:val="22"/>
    <w:qFormat/>
    <w:rsid w:val="00B679C4"/>
    <w:rPr>
      <w:b/>
      <w:bCs/>
      <w:color w:val="000000" w:themeColor="text1"/>
    </w:rPr>
  </w:style>
  <w:style w:type="character" w:styleId="Emphasis">
    <w:name w:val="Emphasis"/>
    <w:basedOn w:val="DefaultParagraphFont"/>
    <w:uiPriority w:val="20"/>
    <w:qFormat/>
    <w:rsid w:val="00B679C4"/>
    <w:rPr>
      <w:i/>
      <w:iCs/>
      <w:color w:val="auto"/>
    </w:rPr>
  </w:style>
  <w:style w:type="paragraph" w:styleId="NoSpacing">
    <w:name w:val="No Spacing"/>
    <w:uiPriority w:val="1"/>
    <w:qFormat/>
    <w:rsid w:val="00B679C4"/>
    <w:pPr>
      <w:spacing w:after="0" w:line="240" w:lineRule="auto"/>
    </w:pPr>
  </w:style>
  <w:style w:type="paragraph" w:styleId="Quote">
    <w:name w:val="Quote"/>
    <w:basedOn w:val="Normal"/>
    <w:next w:val="Normal"/>
    <w:link w:val="QuoteChar"/>
    <w:uiPriority w:val="29"/>
    <w:qFormat/>
    <w:rsid w:val="00B679C4"/>
    <w:pPr>
      <w:spacing w:before="160"/>
      <w:ind w:left="720" w:right="720"/>
    </w:pPr>
    <w:rPr>
      <w:i/>
      <w:iCs/>
      <w:color w:val="000000" w:themeColor="text1"/>
    </w:rPr>
  </w:style>
  <w:style w:type="character" w:customStyle="1" w:styleId="QuoteChar">
    <w:name w:val="Quote Char"/>
    <w:basedOn w:val="DefaultParagraphFont"/>
    <w:link w:val="Quote"/>
    <w:uiPriority w:val="29"/>
    <w:rsid w:val="00B679C4"/>
    <w:rPr>
      <w:i/>
      <w:iCs/>
      <w:color w:val="000000" w:themeColor="text1"/>
    </w:rPr>
  </w:style>
  <w:style w:type="paragraph" w:styleId="IntenseQuote">
    <w:name w:val="Intense Quote"/>
    <w:basedOn w:val="Normal"/>
    <w:next w:val="Normal"/>
    <w:link w:val="IntenseQuoteChar"/>
    <w:uiPriority w:val="30"/>
    <w:qFormat/>
    <w:rsid w:val="00B679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679C4"/>
    <w:rPr>
      <w:color w:val="000000" w:themeColor="text1"/>
      <w:shd w:val="clear" w:color="auto" w:fill="F2F2F2" w:themeFill="background1" w:themeFillShade="F2"/>
    </w:rPr>
  </w:style>
  <w:style w:type="character" w:styleId="SubtleEmphasis">
    <w:name w:val="Subtle Emphasis"/>
    <w:basedOn w:val="DefaultParagraphFont"/>
    <w:uiPriority w:val="19"/>
    <w:qFormat/>
    <w:rsid w:val="00B679C4"/>
    <w:rPr>
      <w:i/>
      <w:iCs/>
      <w:color w:val="404040" w:themeColor="text1" w:themeTint="BF"/>
    </w:rPr>
  </w:style>
  <w:style w:type="character" w:styleId="IntenseEmphasis">
    <w:name w:val="Intense Emphasis"/>
    <w:basedOn w:val="DefaultParagraphFont"/>
    <w:uiPriority w:val="21"/>
    <w:qFormat/>
    <w:rsid w:val="00B679C4"/>
    <w:rPr>
      <w:b/>
      <w:bCs/>
      <w:i/>
      <w:iCs/>
      <w:caps/>
    </w:rPr>
  </w:style>
  <w:style w:type="character" w:styleId="SubtleReference">
    <w:name w:val="Subtle Reference"/>
    <w:basedOn w:val="DefaultParagraphFont"/>
    <w:uiPriority w:val="31"/>
    <w:qFormat/>
    <w:rsid w:val="00B679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79C4"/>
    <w:rPr>
      <w:b/>
      <w:bCs/>
      <w:smallCaps/>
      <w:u w:val="single"/>
    </w:rPr>
  </w:style>
  <w:style w:type="character" w:styleId="BookTitle">
    <w:name w:val="Book Title"/>
    <w:basedOn w:val="DefaultParagraphFont"/>
    <w:uiPriority w:val="33"/>
    <w:qFormat/>
    <w:rsid w:val="00B679C4"/>
    <w:rPr>
      <w:b w:val="0"/>
      <w:bCs w:val="0"/>
      <w:smallCaps/>
      <w:spacing w:val="5"/>
    </w:rPr>
  </w:style>
  <w:style w:type="paragraph" w:styleId="TOCHeading">
    <w:name w:val="TOC Heading"/>
    <w:basedOn w:val="Heading1"/>
    <w:next w:val="Normal"/>
    <w:uiPriority w:val="39"/>
    <w:semiHidden/>
    <w:unhideWhenUsed/>
    <w:qFormat/>
    <w:rsid w:val="00B679C4"/>
    <w:pPr>
      <w:outlineLvl w:val="9"/>
    </w:pPr>
  </w:style>
  <w:style w:type="character" w:styleId="Hyperlink">
    <w:name w:val="Hyperlink"/>
    <w:basedOn w:val="DefaultParagraphFont"/>
    <w:uiPriority w:val="99"/>
    <w:unhideWhenUsed/>
    <w:rsid w:val="00F06F2B"/>
    <w:rPr>
      <w:color w:val="0563C1" w:themeColor="hyperlink"/>
      <w:u w:val="single"/>
    </w:rPr>
  </w:style>
  <w:style w:type="character" w:styleId="UnresolvedMention">
    <w:name w:val="Unresolved Mention"/>
    <w:basedOn w:val="DefaultParagraphFont"/>
    <w:uiPriority w:val="99"/>
    <w:semiHidden/>
    <w:unhideWhenUsed/>
    <w:rsid w:val="00DC4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6080">
      <w:bodyDiv w:val="1"/>
      <w:marLeft w:val="0"/>
      <w:marRight w:val="0"/>
      <w:marTop w:val="0"/>
      <w:marBottom w:val="0"/>
      <w:divBdr>
        <w:top w:val="none" w:sz="0" w:space="0" w:color="auto"/>
        <w:left w:val="none" w:sz="0" w:space="0" w:color="auto"/>
        <w:bottom w:val="none" w:sz="0" w:space="0" w:color="auto"/>
        <w:right w:val="none" w:sz="0" w:space="0" w:color="auto"/>
      </w:divBdr>
    </w:div>
    <w:div w:id="376245484">
      <w:bodyDiv w:val="1"/>
      <w:marLeft w:val="0"/>
      <w:marRight w:val="0"/>
      <w:marTop w:val="0"/>
      <w:marBottom w:val="0"/>
      <w:divBdr>
        <w:top w:val="none" w:sz="0" w:space="0" w:color="auto"/>
        <w:left w:val="none" w:sz="0" w:space="0" w:color="auto"/>
        <w:bottom w:val="none" w:sz="0" w:space="0" w:color="auto"/>
        <w:right w:val="none" w:sz="0" w:space="0" w:color="auto"/>
      </w:divBdr>
    </w:div>
    <w:div w:id="891578339">
      <w:bodyDiv w:val="1"/>
      <w:marLeft w:val="0"/>
      <w:marRight w:val="0"/>
      <w:marTop w:val="0"/>
      <w:marBottom w:val="0"/>
      <w:divBdr>
        <w:top w:val="none" w:sz="0" w:space="0" w:color="auto"/>
        <w:left w:val="none" w:sz="0" w:space="0" w:color="auto"/>
        <w:bottom w:val="none" w:sz="0" w:space="0" w:color="auto"/>
        <w:right w:val="none" w:sz="0" w:space="0" w:color="auto"/>
      </w:divBdr>
    </w:div>
    <w:div w:id="1225681293">
      <w:bodyDiv w:val="1"/>
      <w:marLeft w:val="0"/>
      <w:marRight w:val="0"/>
      <w:marTop w:val="0"/>
      <w:marBottom w:val="0"/>
      <w:divBdr>
        <w:top w:val="none" w:sz="0" w:space="0" w:color="auto"/>
        <w:left w:val="none" w:sz="0" w:space="0" w:color="auto"/>
        <w:bottom w:val="none" w:sz="0" w:space="0" w:color="auto"/>
        <w:right w:val="none" w:sz="0" w:space="0" w:color="auto"/>
      </w:divBdr>
    </w:div>
    <w:div w:id="1696611561">
      <w:bodyDiv w:val="1"/>
      <w:marLeft w:val="0"/>
      <w:marRight w:val="0"/>
      <w:marTop w:val="0"/>
      <w:marBottom w:val="0"/>
      <w:divBdr>
        <w:top w:val="none" w:sz="0" w:space="0" w:color="auto"/>
        <w:left w:val="none" w:sz="0" w:space="0" w:color="auto"/>
        <w:bottom w:val="none" w:sz="0" w:space="0" w:color="auto"/>
        <w:right w:val="none" w:sz="0" w:space="0" w:color="auto"/>
      </w:divBdr>
    </w:div>
    <w:div w:id="1709453702">
      <w:bodyDiv w:val="1"/>
      <w:marLeft w:val="0"/>
      <w:marRight w:val="0"/>
      <w:marTop w:val="0"/>
      <w:marBottom w:val="0"/>
      <w:divBdr>
        <w:top w:val="none" w:sz="0" w:space="0" w:color="auto"/>
        <w:left w:val="none" w:sz="0" w:space="0" w:color="auto"/>
        <w:bottom w:val="none" w:sz="0" w:space="0" w:color="auto"/>
        <w:right w:val="none" w:sz="0" w:space="0" w:color="auto"/>
      </w:divBdr>
    </w:div>
    <w:div w:id="1746763314">
      <w:bodyDiv w:val="1"/>
      <w:marLeft w:val="0"/>
      <w:marRight w:val="0"/>
      <w:marTop w:val="0"/>
      <w:marBottom w:val="0"/>
      <w:divBdr>
        <w:top w:val="none" w:sz="0" w:space="0" w:color="auto"/>
        <w:left w:val="none" w:sz="0" w:space="0" w:color="auto"/>
        <w:bottom w:val="none" w:sz="0" w:space="0" w:color="auto"/>
        <w:right w:val="none" w:sz="0" w:space="0" w:color="auto"/>
      </w:divBdr>
    </w:div>
    <w:div w:id="1925647390">
      <w:bodyDiv w:val="1"/>
      <w:marLeft w:val="0"/>
      <w:marRight w:val="0"/>
      <w:marTop w:val="0"/>
      <w:marBottom w:val="0"/>
      <w:divBdr>
        <w:top w:val="none" w:sz="0" w:space="0" w:color="auto"/>
        <w:left w:val="none" w:sz="0" w:space="0" w:color="auto"/>
        <w:bottom w:val="none" w:sz="0" w:space="0" w:color="auto"/>
        <w:right w:val="none" w:sz="0" w:space="0" w:color="auto"/>
      </w:divBdr>
    </w:div>
    <w:div w:id="20994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TAC-se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shasta.scs.agilent.com\kryptonite\share4\EpiGenomics\DharaATACchip\javaCode\ATACanalysis%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6042-9BD2-41EC-BD1E-63B1F890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TANG,SANDRA (A-USA,ex1)</dc:creator>
  <cp:keywords/>
  <dc:description/>
  <cp:lastModifiedBy>CURRY,BO (A-Santa Clara,ex1)</cp:lastModifiedBy>
  <cp:revision>10</cp:revision>
  <dcterms:created xsi:type="dcterms:W3CDTF">2019-05-16T22:20:00Z</dcterms:created>
  <dcterms:modified xsi:type="dcterms:W3CDTF">2019-05-16T22:39:00Z</dcterms:modified>
</cp:coreProperties>
</file>