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4D8B" w14:textId="0977FA8D" w:rsidR="003D5144" w:rsidRDefault="00DE672C" w:rsidP="00EE52FA">
      <w:pPr>
        <w:jc w:val="right"/>
      </w:pPr>
      <w:r>
        <w:t>Unit 1 Homework: Kickstart My Chart</w:t>
      </w:r>
    </w:p>
    <w:p w14:paraId="5AD3AD11" w14:textId="799D7CA9" w:rsidR="00DE672C" w:rsidRDefault="00DE672C" w:rsidP="00EE52FA">
      <w:pPr>
        <w:jc w:val="right"/>
      </w:pPr>
      <w:r>
        <w:t>Haley Huhtala</w:t>
      </w:r>
    </w:p>
    <w:p w14:paraId="2A30C890" w14:textId="0F87AC85" w:rsidR="00DE672C" w:rsidRDefault="00DE672C" w:rsidP="00EE52FA">
      <w:pPr>
        <w:jc w:val="right"/>
      </w:pPr>
      <w:r>
        <w:t>3/11/2020</w:t>
      </w:r>
    </w:p>
    <w:p w14:paraId="00115F09" w14:textId="77777777" w:rsidR="00EE52FA" w:rsidRDefault="00811FB5">
      <w:r>
        <w:t xml:space="preserve">Background: </w:t>
      </w:r>
    </w:p>
    <w:p w14:paraId="4A61B429" w14:textId="2B2B09E6" w:rsidR="00811FB5" w:rsidRDefault="00811FB5">
      <w:r>
        <w:t xml:space="preserve">Projects can receive crowdfunding through Kickstarter if they meet or exceed the initial funding </w:t>
      </w:r>
      <w:r w:rsidR="006C16C6">
        <w:t>goal</w:t>
      </w:r>
      <w:r>
        <w:t xml:space="preserve"> they set for themselves. </w:t>
      </w:r>
      <w:r w:rsidR="009E7F7C">
        <w:t xml:space="preserve">The </w:t>
      </w:r>
      <w:r>
        <w:t xml:space="preserve">4,000 projects </w:t>
      </w:r>
      <w:r w:rsidR="00014CA5">
        <w:t xml:space="preserve">started between 5/17/2009 and 3/15/2017 were analyzed </w:t>
      </w:r>
      <w:r w:rsidR="006C16C6">
        <w:t>to determine if project category, sub-category, start date, or goal (in USD) could help predict which projects would be successfully funded</w:t>
      </w:r>
      <w:r w:rsidR="00AC1E66">
        <w:t>.</w:t>
      </w:r>
    </w:p>
    <w:p w14:paraId="43FE04A6" w14:textId="77777777" w:rsidR="00EE52FA" w:rsidRDefault="006C16C6">
      <w:r>
        <w:t xml:space="preserve">Results and Discussion: </w:t>
      </w:r>
    </w:p>
    <w:p w14:paraId="751ADD6B" w14:textId="16537F80" w:rsidR="00004FA5" w:rsidRDefault="00832A56">
      <w:r>
        <w:t>There were a range of number of project submissions per category and sub</w:t>
      </w:r>
      <w:r w:rsidR="006468E2">
        <w:t>-</w:t>
      </w:r>
      <w:r>
        <w:t xml:space="preserve">category and the status of the projects also </w:t>
      </w:r>
      <w:r w:rsidR="006468E2">
        <w:t xml:space="preserve">varied across the categorization. </w:t>
      </w:r>
      <w:r w:rsidR="0070630E">
        <w:t>The most prevalent statuses were successful</w:t>
      </w:r>
      <w:r w:rsidR="00C11E6C">
        <w:t>ly funded</w:t>
      </w:r>
      <w:r w:rsidR="007874FB">
        <w:t xml:space="preserve"> and </w:t>
      </w:r>
      <w:r w:rsidR="00C11E6C">
        <w:t>failed to receive funding</w:t>
      </w:r>
      <w:r w:rsidR="00776158">
        <w:t xml:space="preserve"> with</w:t>
      </w:r>
      <w:r w:rsidR="00C11E6C">
        <w:t xml:space="preserve"> live</w:t>
      </w:r>
      <w:r w:rsidR="00776158">
        <w:t>,</w:t>
      </w:r>
      <w:r w:rsidR="00C11E6C">
        <w:t xml:space="preserve"> as in still ongoing at the time of data collection </w:t>
      </w:r>
      <w:r w:rsidR="00211C51">
        <w:t>and</w:t>
      </w:r>
      <w:r w:rsidR="00C11E6C">
        <w:t xml:space="preserve"> cancelled</w:t>
      </w:r>
      <w:r w:rsidR="00776158">
        <w:t xml:space="preserve"> </w:t>
      </w:r>
      <w:r w:rsidR="00211C51">
        <w:t>making up a minority of projects</w:t>
      </w:r>
      <w:r w:rsidR="00C11E6C">
        <w:t xml:space="preserve">. </w:t>
      </w:r>
      <w:r w:rsidR="008400E5">
        <w:t xml:space="preserve">Of the </w:t>
      </w:r>
      <w:r w:rsidR="00F161F7">
        <w:t xml:space="preserve">nine categories </w:t>
      </w:r>
      <w:r w:rsidR="00811FB5">
        <w:t>Theater, Music and Technology have the most projects submitted</w:t>
      </w:r>
      <w:r w:rsidR="00F57F3E">
        <w:t xml:space="preserve"> (Figure 1</w:t>
      </w:r>
      <w:r w:rsidR="005F4719">
        <w:t>)</w:t>
      </w:r>
      <w:r w:rsidR="00811FB5">
        <w:t>.</w:t>
      </w:r>
      <w:r w:rsidR="005F4719">
        <w:t xml:space="preserve"> </w:t>
      </w:r>
      <w:r w:rsidR="00831464">
        <w:t>Journalism</w:t>
      </w:r>
      <w:r w:rsidR="008E7DC9">
        <w:t xml:space="preserve"> </w:t>
      </w:r>
      <w:r w:rsidR="004A6FD5">
        <w:t xml:space="preserve">has only 24 projects compared to the </w:t>
      </w:r>
      <w:r w:rsidR="005613D4">
        <w:t>others that have more than 200.</w:t>
      </w:r>
      <w:r w:rsidR="00811FB5">
        <w:t xml:space="preserve"> </w:t>
      </w:r>
    </w:p>
    <w:p w14:paraId="71A2A3C5" w14:textId="71052AEC" w:rsidR="0064618B" w:rsidRDefault="0078561F" w:rsidP="005E562B">
      <w:pPr>
        <w:spacing w:after="0"/>
      </w:pPr>
      <w:r>
        <w:rPr>
          <w:noProof/>
        </w:rPr>
        <w:drawing>
          <wp:inline distT="0" distB="0" distL="0" distR="0" wp14:anchorId="5A2295F2" wp14:editId="4D16F9F1">
            <wp:extent cx="5943600" cy="3085465"/>
            <wp:effectExtent l="0" t="0" r="0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8013DDE-138B-4903-9A51-B85F9E365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4C8F73" w14:textId="3E353A2E" w:rsidR="00B94BCB" w:rsidRPr="00B94BCB" w:rsidRDefault="00B94BCB" w:rsidP="005E562B">
      <w:pPr>
        <w:spacing w:after="0"/>
      </w:pPr>
      <w:r>
        <w:rPr>
          <w:b/>
          <w:bCs/>
        </w:rPr>
        <w:t xml:space="preserve">Figure 1: </w:t>
      </w:r>
      <w:r>
        <w:t xml:space="preserve"> The </w:t>
      </w:r>
      <w:r w:rsidR="00FA057C">
        <w:t xml:space="preserve">number of projects per category is </w:t>
      </w:r>
      <w:r w:rsidR="00C801D9">
        <w:t xml:space="preserve">represented by the bar height and </w:t>
      </w:r>
      <w:r w:rsidR="007B6EB0">
        <w:t>the data label above the bars.</w:t>
      </w:r>
      <w:r w:rsidR="00FA057C">
        <w:t xml:space="preserve"> </w:t>
      </w:r>
      <w:r w:rsidR="002675BE">
        <w:t>Additionally,</w:t>
      </w:r>
      <w:r w:rsidR="002D3F4F">
        <w:t xml:space="preserve"> each bar</w:t>
      </w:r>
      <w:r w:rsidR="002675BE">
        <w:t xml:space="preserve"> is</w:t>
      </w:r>
      <w:r w:rsidR="002D3F4F">
        <w:t xml:space="preserve"> divided by the status of the projects</w:t>
      </w:r>
      <w:r w:rsidR="002675BE">
        <w:t xml:space="preserve"> and color coded </w:t>
      </w:r>
      <w:r w:rsidR="00621E00">
        <w:t>according</w:t>
      </w:r>
      <w:r w:rsidR="002675BE">
        <w:t xml:space="preserve"> to the </w:t>
      </w:r>
      <w:r w:rsidR="00621E00">
        <w:t>legend</w:t>
      </w:r>
      <w:r w:rsidR="002D3F4F">
        <w:t xml:space="preserve">. </w:t>
      </w:r>
    </w:p>
    <w:p w14:paraId="5BAF619E" w14:textId="75193E6F" w:rsidR="00E43011" w:rsidRDefault="00354CED" w:rsidP="005E562B">
      <w:pPr>
        <w:spacing w:after="0"/>
      </w:pPr>
      <w:r>
        <w:lastRenderedPageBreak/>
        <w:t xml:space="preserve">Drilling down in the </w:t>
      </w:r>
      <w:r w:rsidR="00A403F5">
        <w:t xml:space="preserve">41 </w:t>
      </w:r>
      <w:r>
        <w:t xml:space="preserve">sub-categories, plays are the most prevalent projects followed by rock music and wearable technology which are each less than a quarter of the play submissions (Figure 2). </w:t>
      </w:r>
      <w:r w:rsidR="00E43011">
        <w:rPr>
          <w:noProof/>
        </w:rPr>
        <w:drawing>
          <wp:inline distT="0" distB="0" distL="0" distR="0" wp14:anchorId="289E493F" wp14:editId="7DBF78FD">
            <wp:extent cx="6191250" cy="29845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0ECC80-B277-4385-8AB4-8691ED3DB6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D6CC74" w14:textId="3C385BFA" w:rsidR="00354CED" w:rsidRPr="00354CED" w:rsidRDefault="00354CED" w:rsidP="005E562B">
      <w:pPr>
        <w:spacing w:after="0"/>
      </w:pPr>
      <w:r>
        <w:rPr>
          <w:b/>
          <w:bCs/>
        </w:rPr>
        <w:t>Figure 2:</w:t>
      </w:r>
      <w:r>
        <w:t xml:space="preserve"> </w:t>
      </w:r>
      <w:r w:rsidR="00361217">
        <w:t xml:space="preserve">The sub-categories of the top three categories are shown to preserve readability. </w:t>
      </w:r>
      <w:r w:rsidR="00503FA6">
        <w:t xml:space="preserve"> The number of projects per category is represented by the bar height</w:t>
      </w:r>
      <w:r w:rsidR="00C010C3">
        <w:t xml:space="preserve"> and the status is again color coded based on the legend. </w:t>
      </w:r>
    </w:p>
    <w:p w14:paraId="50B2BC92" w14:textId="3945354A" w:rsidR="00D81D3B" w:rsidRDefault="00771660">
      <w:r>
        <w:t xml:space="preserve">The overall success rate of the </w:t>
      </w:r>
      <w:r w:rsidR="00F920E5">
        <w:t>data set was 53%</w:t>
      </w:r>
      <w:r w:rsidR="00E77605">
        <w:t xml:space="preserve">. </w:t>
      </w:r>
      <w:r w:rsidR="00570488">
        <w:t xml:space="preserve">Theater, music, </w:t>
      </w:r>
      <w:r w:rsidR="00102F00">
        <w:t xml:space="preserve">and </w:t>
      </w:r>
      <w:r w:rsidR="00C868BD">
        <w:t>film a</w:t>
      </w:r>
      <w:r w:rsidR="00102F00">
        <w:t>nd video were the only categories that had a better success rate.</w:t>
      </w:r>
      <w:r w:rsidR="00A27896">
        <w:t xml:space="preserve"> (Figure </w:t>
      </w:r>
      <w:r w:rsidR="00F717B7">
        <w:t xml:space="preserve">3). </w:t>
      </w:r>
    </w:p>
    <w:p w14:paraId="7D1E4E1B" w14:textId="08F88C3A" w:rsidR="004F1CEC" w:rsidRDefault="00CF600D" w:rsidP="005E562B">
      <w:pPr>
        <w:spacing w:after="0"/>
      </w:pPr>
      <w:r>
        <w:rPr>
          <w:noProof/>
        </w:rPr>
        <w:drawing>
          <wp:inline distT="0" distB="0" distL="0" distR="0" wp14:anchorId="4ABA25A3" wp14:editId="7362657C">
            <wp:extent cx="5911850" cy="313690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C74E0CB-2AC1-4A55-A984-4D16E1A3F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28402D" w14:textId="52DB56CA" w:rsidR="007302BC" w:rsidRPr="005E00D4" w:rsidRDefault="007302BC" w:rsidP="005E562B">
      <w:pPr>
        <w:spacing w:after="0"/>
      </w:pPr>
      <w:r>
        <w:rPr>
          <w:b/>
          <w:bCs/>
        </w:rPr>
        <w:t>Figure 3</w:t>
      </w:r>
      <w:r w:rsidR="00102AC7">
        <w:rPr>
          <w:b/>
          <w:bCs/>
        </w:rPr>
        <w:t>:</w:t>
      </w:r>
      <w:r w:rsidR="00DD4115">
        <w:rPr>
          <w:b/>
          <w:bCs/>
        </w:rPr>
        <w:t xml:space="preserve"> </w:t>
      </w:r>
      <w:r w:rsidR="005F5845">
        <w:t>The bars a</w:t>
      </w:r>
      <w:r w:rsidR="004B6D97">
        <w:t xml:space="preserve">re color coded based on the </w:t>
      </w:r>
      <w:r w:rsidR="00E6441E">
        <w:t xml:space="preserve">percent </w:t>
      </w:r>
      <w:r w:rsidR="003A190D">
        <w:t xml:space="preserve">of each project in the </w:t>
      </w:r>
      <w:r w:rsidR="00892D34">
        <w:t>different statuses</w:t>
      </w:r>
      <w:r w:rsidR="009E5C47">
        <w:t xml:space="preserve"> a</w:t>
      </w:r>
      <w:r w:rsidR="0018275A">
        <w:t xml:space="preserve">s depicted by the colors in the legend. </w:t>
      </w:r>
    </w:p>
    <w:p w14:paraId="443A37ED" w14:textId="4EEAB8F4" w:rsidR="004F1CEC" w:rsidRDefault="00827419">
      <w:r>
        <w:lastRenderedPageBreak/>
        <w:t xml:space="preserve">Now looking at the data in </w:t>
      </w:r>
      <w:r w:rsidR="00071506">
        <w:t xml:space="preserve">terms of the US dollar value of their goal, </w:t>
      </w:r>
      <w:r w:rsidR="007E4C6B">
        <w:t xml:space="preserve">the general trend is as the </w:t>
      </w:r>
      <w:r w:rsidR="00F47B6B">
        <w:t xml:space="preserve">project goal gets higher the project is less likely to be successful. </w:t>
      </w:r>
      <w:r w:rsidR="00982CDA">
        <w:t>P</w:t>
      </w:r>
      <w:r w:rsidR="009C2C0E">
        <w:t>roject</w:t>
      </w:r>
      <w:r w:rsidR="00982CDA">
        <w:t>s</w:t>
      </w:r>
      <w:r w:rsidR="009C2C0E">
        <w:t xml:space="preserve"> with goals </w:t>
      </w:r>
      <w:r w:rsidR="00F1686D">
        <w:t xml:space="preserve">less than </w:t>
      </w:r>
      <w:r w:rsidR="009766A3">
        <w:t xml:space="preserve">$5,00 were more likely than the overall average to be successful. It is also worth noting the </w:t>
      </w:r>
      <w:r w:rsidR="006F3FF6">
        <w:t xml:space="preserve">projects with a goal between </w:t>
      </w:r>
      <w:r w:rsidR="001E4059">
        <w:t xml:space="preserve">$5,00 and $10,000 had an average success rate of </w:t>
      </w:r>
      <w:r w:rsidR="00863AE8">
        <w:t xml:space="preserve">52%, right below the </w:t>
      </w:r>
      <w:r w:rsidR="005B16D3">
        <w:t xml:space="preserve">overall </w:t>
      </w:r>
      <w:r w:rsidR="00863AE8">
        <w:t xml:space="preserve">average of 53%. </w:t>
      </w:r>
      <w:r w:rsidR="006F39AD">
        <w:t xml:space="preserve">Projects with budgets </w:t>
      </w:r>
      <w:r w:rsidR="001C0FA3">
        <w:t xml:space="preserve">between </w:t>
      </w:r>
      <w:r w:rsidR="006E665D">
        <w:t>$40,00</w:t>
      </w:r>
      <w:r w:rsidR="006F5BB9">
        <w:t xml:space="preserve">0 and $45,000 </w:t>
      </w:r>
      <w:r w:rsidR="00B81707">
        <w:t xml:space="preserve">interestingly had an average success rate of 50%, this is higher than </w:t>
      </w:r>
      <w:r w:rsidR="00537875">
        <w:t xml:space="preserve">a linear relationship between goal and </w:t>
      </w:r>
      <w:r w:rsidR="00FF591C">
        <w:t>percent status would predict and visually appears to be an inflection point because the average success rate of pro</w:t>
      </w:r>
      <w:r w:rsidR="004764EA">
        <w:t xml:space="preserve">jects with a goal of $45,000 to </w:t>
      </w:r>
      <w:r w:rsidR="008266B2">
        <w:t xml:space="preserve">$50,000 was 28%. </w:t>
      </w:r>
    </w:p>
    <w:p w14:paraId="2A36F9D0" w14:textId="33CE770B" w:rsidR="004F1CEC" w:rsidRDefault="004F1CEC" w:rsidP="005E562B">
      <w:pPr>
        <w:spacing w:after="0"/>
      </w:pPr>
      <w:r>
        <w:rPr>
          <w:noProof/>
        </w:rPr>
        <w:drawing>
          <wp:inline distT="0" distB="0" distL="0" distR="0" wp14:anchorId="778918E9" wp14:editId="098DA15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2159A30-D643-4B74-BD97-D94A127A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79119D" w14:textId="6D045DF8" w:rsidR="009B226B" w:rsidRDefault="00DD4115" w:rsidP="005E562B">
      <w:pPr>
        <w:spacing w:after="0"/>
      </w:pPr>
      <w:r w:rsidRPr="005E5C28">
        <w:rPr>
          <w:b/>
          <w:bCs/>
        </w:rPr>
        <w:t>Figure 4:</w:t>
      </w:r>
      <w:r w:rsidR="005E5C28">
        <w:rPr>
          <w:b/>
          <w:bCs/>
        </w:rPr>
        <w:t xml:space="preserve"> </w:t>
      </w:r>
      <w:r w:rsidR="009B226B">
        <w:t xml:space="preserve">The bars are color coded based on the percent of each project in the different statuses as depicted by the colors in the legend. </w:t>
      </w:r>
    </w:p>
    <w:p w14:paraId="5B95F445" w14:textId="77777777" w:rsidR="003B08D1" w:rsidRPr="005E00D4" w:rsidRDefault="003B08D1" w:rsidP="005E562B">
      <w:pPr>
        <w:spacing w:after="0"/>
      </w:pPr>
    </w:p>
    <w:p w14:paraId="04B33F9B" w14:textId="23DFF2A0" w:rsidR="00811FB5" w:rsidRDefault="00811FB5">
      <w:r>
        <w:t>Limitations</w:t>
      </w:r>
      <w:r w:rsidR="006C16C6">
        <w:t>:</w:t>
      </w:r>
      <w:r w:rsidR="00F63352">
        <w:t xml:space="preserve"> </w:t>
      </w:r>
    </w:p>
    <w:p w14:paraId="23B2B503" w14:textId="41555EE5" w:rsidR="00F63352" w:rsidRDefault="009F40E9">
      <w:r>
        <w:t>The sample selection of this data set limits th</w:t>
      </w:r>
      <w:r w:rsidR="00475B0E">
        <w:t xml:space="preserve">is </w:t>
      </w:r>
      <w:r w:rsidR="00B2404D">
        <w:t>analysis</w:t>
      </w:r>
      <w:r w:rsidR="00475B0E">
        <w:t xml:space="preserve">. </w:t>
      </w:r>
      <w:r w:rsidR="008E2966">
        <w:t>Many choices</w:t>
      </w:r>
      <w:r w:rsidR="00D71AE9">
        <w:t xml:space="preserve"> had to be made to collect this data including</w:t>
      </w:r>
      <w:r w:rsidR="00173F1D">
        <w:t xml:space="preserve"> </w:t>
      </w:r>
      <w:r w:rsidR="00D71AE9">
        <w:t xml:space="preserve">date range, number of projects, </w:t>
      </w:r>
      <w:r w:rsidR="007400C1">
        <w:t>sele</w:t>
      </w:r>
      <w:r w:rsidR="008862A9">
        <w:t>ction method (random or other)</w:t>
      </w:r>
      <w:r w:rsidR="00620821">
        <w:t xml:space="preserve">, </w:t>
      </w:r>
      <w:r w:rsidR="00C07E5A">
        <w:t xml:space="preserve">categories to include, </w:t>
      </w:r>
      <w:r w:rsidR="00620821">
        <w:t xml:space="preserve">and others. </w:t>
      </w:r>
      <w:r w:rsidR="00CC71C2">
        <w:t xml:space="preserve">One could reasonably question </w:t>
      </w:r>
      <w:r w:rsidR="00F2669A">
        <w:t xml:space="preserve">is this data relevant to </w:t>
      </w:r>
      <w:r w:rsidR="00BB0340">
        <w:t>projects in 2020</w:t>
      </w:r>
      <w:r w:rsidR="002D6D8F">
        <w:t xml:space="preserve"> and</w:t>
      </w:r>
      <w:r w:rsidR="00BB0340">
        <w:t xml:space="preserve"> is this set representative </w:t>
      </w:r>
      <w:r w:rsidR="002D6D8F">
        <w:t xml:space="preserve">of the </w:t>
      </w:r>
      <w:r w:rsidR="00C32699">
        <w:t>all the projects</w:t>
      </w:r>
      <w:r w:rsidR="000D07D8">
        <w:t>?</w:t>
      </w:r>
      <w:r w:rsidR="00C32699">
        <w:t xml:space="preserve"> </w:t>
      </w:r>
      <w:r w:rsidR="002D6D8F">
        <w:t xml:space="preserve"> </w:t>
      </w:r>
      <w:r w:rsidR="003A4EE4">
        <w:t xml:space="preserve">There are a few methods used in this analysis that </w:t>
      </w:r>
      <w:r w:rsidR="00996ACC">
        <w:t>present limitations as well. The c</w:t>
      </w:r>
      <w:r w:rsidR="00F63352">
        <w:t xml:space="preserve">urrency </w:t>
      </w:r>
      <w:r w:rsidR="00996ACC">
        <w:t xml:space="preserve">was </w:t>
      </w:r>
      <w:r w:rsidR="00F63352">
        <w:t>converted using 3/9/2020 conversion rates, not the rate at the time the project was raising money</w:t>
      </w:r>
      <w:r w:rsidR="00D87A4A">
        <w:t xml:space="preserve"> which could lead to project goals being </w:t>
      </w:r>
      <w:r w:rsidR="006404FF">
        <w:t>grouped</w:t>
      </w:r>
      <w:r w:rsidR="00D87A4A">
        <w:t xml:space="preserve"> differently</w:t>
      </w:r>
      <w:r w:rsidR="00CD598C">
        <w:t xml:space="preserve">. </w:t>
      </w:r>
      <w:r w:rsidR="00AD4CD4">
        <w:t xml:space="preserve">Additionally, statistical significance testing was not </w:t>
      </w:r>
      <w:r w:rsidR="006404FF">
        <w:t>performed</w:t>
      </w:r>
      <w:r w:rsidR="00AD4CD4">
        <w:t xml:space="preserve"> on the </w:t>
      </w:r>
      <w:r w:rsidR="00D17EE1">
        <w:t xml:space="preserve">conclusions so </w:t>
      </w:r>
      <w:r w:rsidR="00F340F6">
        <w:t xml:space="preserve">the results are possibly due to </w:t>
      </w:r>
      <w:r w:rsidR="003F4978">
        <w:t xml:space="preserve">statistical variation not underlying </w:t>
      </w:r>
      <w:r w:rsidR="006F72FF">
        <w:t xml:space="preserve">trends. </w:t>
      </w:r>
    </w:p>
    <w:p w14:paraId="2B1476EC" w14:textId="04477D15" w:rsidR="006C16C6" w:rsidRDefault="006C16C6">
      <w:r>
        <w:t>Future Analysis:</w:t>
      </w:r>
      <w:r w:rsidR="00BD4C8B">
        <w:t xml:space="preserve"> </w:t>
      </w:r>
    </w:p>
    <w:p w14:paraId="45962F13" w14:textId="6DF06205" w:rsidR="00BD4C8B" w:rsidRDefault="00BD4C8B">
      <w:r>
        <w:t xml:space="preserve">Future analysis could include further investigating the </w:t>
      </w:r>
      <w:r w:rsidR="00817464">
        <w:t xml:space="preserve">successful projects in the </w:t>
      </w:r>
      <w:r w:rsidR="009853A4">
        <w:t xml:space="preserve">$45,000 to $50,000 goal range to try to determine why they are on average more successful than projects in the </w:t>
      </w:r>
      <w:r w:rsidR="007863C2">
        <w:t>adjacent</w:t>
      </w:r>
      <w:r w:rsidR="009853A4">
        <w:t xml:space="preserve"> ranges. Looking at the category and sub-category breakdown of that range could offer additional insights. This </w:t>
      </w:r>
      <w:r w:rsidR="00430E87">
        <w:t xml:space="preserve">total </w:t>
      </w:r>
      <w:r w:rsidR="009853A4">
        <w:t xml:space="preserve">analysis could also be run again on more recent data to see if the trends observed here still hold. </w:t>
      </w:r>
      <w:bookmarkStart w:id="0" w:name="_GoBack"/>
      <w:bookmarkEnd w:id="0"/>
    </w:p>
    <w:p w14:paraId="42B74891" w14:textId="74FF8598" w:rsidR="0021107B" w:rsidRDefault="0021107B">
      <w:r>
        <w:t xml:space="preserve">Question for the TA: I’m a Chemist so I was taught </w:t>
      </w:r>
      <w:r w:rsidR="002011C7">
        <w:t xml:space="preserve">to write </w:t>
      </w:r>
      <w:r>
        <w:t>report</w:t>
      </w:r>
      <w:r w:rsidR="002011C7">
        <w:t>s in a passive voice</w:t>
      </w:r>
      <w:r w:rsidR="006D7F10">
        <w:t xml:space="preserve">. </w:t>
      </w:r>
      <w:r w:rsidR="00C21B14">
        <w:t>Is the same convention used in Data Analytics?</w:t>
      </w:r>
      <w:r w:rsidR="002011C7">
        <w:t xml:space="preserve"> Do</w:t>
      </w:r>
      <w:r w:rsidR="00066D41">
        <w:t xml:space="preserve"> you think it leads to my writing sounding less compelling? Thanks. </w:t>
      </w:r>
    </w:p>
    <w:sectPr w:rsidR="0021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C"/>
    <w:rsid w:val="00004FA5"/>
    <w:rsid w:val="00014CA5"/>
    <w:rsid w:val="000206D1"/>
    <w:rsid w:val="000355BE"/>
    <w:rsid w:val="00066D41"/>
    <w:rsid w:val="00071506"/>
    <w:rsid w:val="000D07D8"/>
    <w:rsid w:val="00102AC7"/>
    <w:rsid w:val="00102F00"/>
    <w:rsid w:val="001161C6"/>
    <w:rsid w:val="00173F1D"/>
    <w:rsid w:val="0018275A"/>
    <w:rsid w:val="00190BB9"/>
    <w:rsid w:val="001C0FA3"/>
    <w:rsid w:val="001E4059"/>
    <w:rsid w:val="002011C7"/>
    <w:rsid w:val="0021107B"/>
    <w:rsid w:val="00211C51"/>
    <w:rsid w:val="002675BE"/>
    <w:rsid w:val="002678C7"/>
    <w:rsid w:val="00274050"/>
    <w:rsid w:val="002845F3"/>
    <w:rsid w:val="002D26B1"/>
    <w:rsid w:val="002D3F4F"/>
    <w:rsid w:val="002D6D8F"/>
    <w:rsid w:val="00323B77"/>
    <w:rsid w:val="00330005"/>
    <w:rsid w:val="00354CED"/>
    <w:rsid w:val="00361217"/>
    <w:rsid w:val="00367C75"/>
    <w:rsid w:val="003775C3"/>
    <w:rsid w:val="003A190D"/>
    <w:rsid w:val="003A4EE4"/>
    <w:rsid w:val="003B08D1"/>
    <w:rsid w:val="003D5144"/>
    <w:rsid w:val="003E6205"/>
    <w:rsid w:val="003F21DD"/>
    <w:rsid w:val="003F4978"/>
    <w:rsid w:val="00421E77"/>
    <w:rsid w:val="00430E87"/>
    <w:rsid w:val="00475B0E"/>
    <w:rsid w:val="004764EA"/>
    <w:rsid w:val="00477864"/>
    <w:rsid w:val="004A6FD5"/>
    <w:rsid w:val="004B460B"/>
    <w:rsid w:val="004B6D97"/>
    <w:rsid w:val="004F1CEC"/>
    <w:rsid w:val="00503FA6"/>
    <w:rsid w:val="00537875"/>
    <w:rsid w:val="00537B80"/>
    <w:rsid w:val="00545671"/>
    <w:rsid w:val="005613D4"/>
    <w:rsid w:val="00570488"/>
    <w:rsid w:val="005B16D3"/>
    <w:rsid w:val="005E00D4"/>
    <w:rsid w:val="005E562B"/>
    <w:rsid w:val="005E5C28"/>
    <w:rsid w:val="005F4719"/>
    <w:rsid w:val="005F5845"/>
    <w:rsid w:val="00620821"/>
    <w:rsid w:val="00621E00"/>
    <w:rsid w:val="006404FF"/>
    <w:rsid w:val="0064618B"/>
    <w:rsid w:val="006468E2"/>
    <w:rsid w:val="006C16C6"/>
    <w:rsid w:val="006C55CD"/>
    <w:rsid w:val="006C6EE5"/>
    <w:rsid w:val="006D6913"/>
    <w:rsid w:val="006D7F10"/>
    <w:rsid w:val="006E665D"/>
    <w:rsid w:val="006F39AD"/>
    <w:rsid w:val="006F3FF6"/>
    <w:rsid w:val="006F5BB9"/>
    <w:rsid w:val="006F72FF"/>
    <w:rsid w:val="0070630E"/>
    <w:rsid w:val="007302BC"/>
    <w:rsid w:val="007400C1"/>
    <w:rsid w:val="00771660"/>
    <w:rsid w:val="00776158"/>
    <w:rsid w:val="0078561F"/>
    <w:rsid w:val="007863C2"/>
    <w:rsid w:val="007874FB"/>
    <w:rsid w:val="007A0C4E"/>
    <w:rsid w:val="007A2D7E"/>
    <w:rsid w:val="007B6EB0"/>
    <w:rsid w:val="007D0485"/>
    <w:rsid w:val="007E4C6B"/>
    <w:rsid w:val="007E5458"/>
    <w:rsid w:val="007F0A27"/>
    <w:rsid w:val="007F19D5"/>
    <w:rsid w:val="00811FB5"/>
    <w:rsid w:val="00817464"/>
    <w:rsid w:val="008266B2"/>
    <w:rsid w:val="00827419"/>
    <w:rsid w:val="00831464"/>
    <w:rsid w:val="00832A56"/>
    <w:rsid w:val="008400E5"/>
    <w:rsid w:val="00863AE8"/>
    <w:rsid w:val="008862A9"/>
    <w:rsid w:val="00892D34"/>
    <w:rsid w:val="008E2966"/>
    <w:rsid w:val="008E7DC9"/>
    <w:rsid w:val="008F2726"/>
    <w:rsid w:val="008F296D"/>
    <w:rsid w:val="00964B53"/>
    <w:rsid w:val="009766A3"/>
    <w:rsid w:val="00982CDA"/>
    <w:rsid w:val="009853A4"/>
    <w:rsid w:val="00994588"/>
    <w:rsid w:val="00996ACC"/>
    <w:rsid w:val="009A4958"/>
    <w:rsid w:val="009B226B"/>
    <w:rsid w:val="009C2C0E"/>
    <w:rsid w:val="009C5791"/>
    <w:rsid w:val="009E5C47"/>
    <w:rsid w:val="009E7F7C"/>
    <w:rsid w:val="009F17D8"/>
    <w:rsid w:val="009F40E9"/>
    <w:rsid w:val="00A27896"/>
    <w:rsid w:val="00A403F5"/>
    <w:rsid w:val="00AC1E66"/>
    <w:rsid w:val="00AD4CD4"/>
    <w:rsid w:val="00B0716A"/>
    <w:rsid w:val="00B2404D"/>
    <w:rsid w:val="00B34C3A"/>
    <w:rsid w:val="00B747D8"/>
    <w:rsid w:val="00B81707"/>
    <w:rsid w:val="00B94BCB"/>
    <w:rsid w:val="00BB0340"/>
    <w:rsid w:val="00BD4C8B"/>
    <w:rsid w:val="00C010C3"/>
    <w:rsid w:val="00C07E5A"/>
    <w:rsid w:val="00C11E6C"/>
    <w:rsid w:val="00C21B14"/>
    <w:rsid w:val="00C32699"/>
    <w:rsid w:val="00C56E68"/>
    <w:rsid w:val="00C801D9"/>
    <w:rsid w:val="00C868BD"/>
    <w:rsid w:val="00CA047C"/>
    <w:rsid w:val="00CC71C2"/>
    <w:rsid w:val="00CD598C"/>
    <w:rsid w:val="00CF600D"/>
    <w:rsid w:val="00D17EE1"/>
    <w:rsid w:val="00D413C5"/>
    <w:rsid w:val="00D71AE9"/>
    <w:rsid w:val="00D81D3B"/>
    <w:rsid w:val="00D87A4A"/>
    <w:rsid w:val="00DD4115"/>
    <w:rsid w:val="00DE672C"/>
    <w:rsid w:val="00E43011"/>
    <w:rsid w:val="00E556C4"/>
    <w:rsid w:val="00E6441E"/>
    <w:rsid w:val="00E65EDE"/>
    <w:rsid w:val="00E77605"/>
    <w:rsid w:val="00EE52FA"/>
    <w:rsid w:val="00EE67E6"/>
    <w:rsid w:val="00F161F7"/>
    <w:rsid w:val="00F1686D"/>
    <w:rsid w:val="00F21A0B"/>
    <w:rsid w:val="00F2669A"/>
    <w:rsid w:val="00F340F6"/>
    <w:rsid w:val="00F41503"/>
    <w:rsid w:val="00F47B6B"/>
    <w:rsid w:val="00F57F3E"/>
    <w:rsid w:val="00F63352"/>
    <w:rsid w:val="00F6445F"/>
    <w:rsid w:val="00F67D00"/>
    <w:rsid w:val="00F717B7"/>
    <w:rsid w:val="00F920E5"/>
    <w:rsid w:val="00FA057C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6831"/>
  <w15:chartTrackingRefBased/>
  <w15:docId w15:val="{59CDB6F1-BFB4-402A-AA5E-4614F95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54c25485f6dce30/Haley's%20Documents/Data%20Analytics%20and%20Vis/01-Excel/Instructions/StarterBoo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54c25485f6dce30/Haley's%20Documents/Data%20Analytics%20and%20Vis/01-Excel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54c25485f6dce30/Haley's%20Documents/Data%20Analytics%20and%20Vis/01-Excel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54c25485f6dce30/Haley's%20Documents/Data%20Analytics%20and%20Vis/01-Excel/Instruction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Status Count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6E810DB-BD0C-47A9-9323-911092C1265E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0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4059AB6-0717-49E6-A314-703DD9249937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1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83FC0DEA-7AB8-483F-B4ED-FFE8DE7DA91D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2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300EAAE-6302-4342-9873-E2D29F782346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3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7DA432B-04CE-4E70-93B2-4BD016E3DF28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4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2253B82-9DC1-4E90-B971-5258D64B8C97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5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8B59FBC3-0B88-4F96-8C4A-AA146F51EA80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6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0599C9C-62B7-4B74-B532-7BE5681BC159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27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1FF23E3-DED5-454D-AEC9-28A11242E2B0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3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9F852A1-98F5-49C1-8809-BAF187C86236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4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C6B8037-47FB-41BD-ABC2-53EC15591766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5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D84C9EE-7D92-4365-B730-E96801A7C2F8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6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E3354EB-182B-487E-89F5-8A99D855F637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7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39F7A03-BA07-44BD-9B64-F0634E92BD2E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8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A51A9F1-EC6C-4323-A61D-FC1048C1005E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39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5C0AF8E-E8A3-42AB-81FB-D15F867C7CF1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40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8D69CBEF-2F80-475C-B4CD-B59438776D09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46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5412F6C-3E73-448A-97A3-7937E7F05B25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47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97F7D6A-BECD-4382-8078-EFA362EAA685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48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186A513-264F-4464-A334-F203D6556A8A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49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5724608-1C3B-4E32-9A38-C5FC01AA9E22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50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E052097-4076-49F0-9564-8AE9CB36FDFA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51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AF14CBF-0948-48DD-A4B6-290A086DA62D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52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5C67307-C482-4133-9D43-99647BD21532}" type="CELLRANG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53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8"/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2CA80A0-6A95-4AB8-8BB5-3E432ADDD799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59"/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467CAA2-59ED-4B52-8132-081A9B3552B6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0"/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D2E7061-E0B4-4DB9-B335-DF5650306DE5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1"/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95AE8BF-6DC2-4A34-84DA-9193943E7D8B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2"/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A50322C-DD8E-46C2-9F75-C6A6FC9BDBBA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3"/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F761097-7568-47A2-A317-FF0024DCF62F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4"/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CAFBF34-851D-4E10-B8B2-D16CE9F22FB2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5"/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E5291DC-A0EF-4432-9561-E19780A6ADFF}" type="CELLRANGE">
                  <a:rPr lang="en-US" b="1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66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b="1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dLbl>
          <c:idx val="0"/>
          <c:layout>
            <c:manualLayout>
              <c:x val="-2.0581423596002534E-3"/>
              <c:y val="-4.168216854177817E-2"/>
            </c:manualLayout>
          </c:layout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9"/>
        <c:dLbl>
          <c:idx val="0"/>
          <c:layout>
            <c:manualLayout>
              <c:x val="-2.0581423596002534E-3"/>
              <c:y val="-4.168216854177817E-2"/>
            </c:manualLayout>
          </c:layout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3"/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AD52471-765F-44EF-8C3D-870C8CABC005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4"/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F9E0DA2-20C5-497B-BF99-28C7509BA5F8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5"/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347DE82-1ADF-4EE2-88D7-69BABF409CB0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6"/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2AFF5E3-653D-43F0-A00F-1311D14DE4CA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7"/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AFE3085-E209-4375-B062-AA1500732F85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8"/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949A65E-43B4-45D9-9576-ABF808079B2A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79"/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DCC3F06-5CA5-409C-A22C-C86406A0E4A7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80"/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DF716FE-6EBA-4DAA-A977-76204B9268CD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81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b="1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3"/>
        <c:dLbl>
          <c:idx val="0"/>
          <c:layout>
            <c:manualLayout>
              <c:x val="-2.0581423596002534E-3"/>
              <c:y val="-4.168216854177817E-2"/>
            </c:manualLayout>
          </c:layout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7"/>
        <c:dLbl>
          <c:idx val="0"/>
          <c:layout>
            <c:manualLayout>
              <c:x val="0"/>
              <c:y val="-0.190726039791101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82A2BDD-8969-4256-8C7C-BB755CA792B0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88"/>
        <c:dLbl>
          <c:idx val="0"/>
          <c:layout>
            <c:manualLayout>
              <c:x val="0"/>
              <c:y val="-0.1311909560792955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30D9B0E-2C50-43D1-B6A3-8AC09CDFA697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89"/>
        <c:dLbl>
          <c:idx val="0"/>
          <c:layout>
            <c:manualLayout>
              <c:x val="-3.7319331394501352E-17"/>
              <c:y val="-7.94234679709404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474C31C-1197-4D29-97F6-90F6F5866EE0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0"/>
        <c:dLbl>
          <c:idx val="0"/>
          <c:layout>
            <c:manualLayout>
              <c:x val="0"/>
              <c:y val="-9.160732041600601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BFEE91D-874D-436F-8226-C4D48FA8A0F6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1"/>
        <c:dLbl>
          <c:idx val="0"/>
          <c:layout>
            <c:manualLayout>
              <c:x val="0"/>
              <c:y val="-5.115046625997688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EB4C451-A2C8-431A-A40D-BEB675835EF0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2"/>
        <c:dLbl>
          <c:idx val="0"/>
          <c:layout>
            <c:manualLayout>
              <c:x val="0"/>
              <c:y val="-4.6599840548941708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8A701FA-4AD3-4597-90AB-C171D061297F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3"/>
        <c:dLbl>
          <c:idx val="0"/>
          <c:layout>
            <c:manualLayout>
              <c:x val="-7.4638662789002703E-17"/>
              <c:y val="-5.538003995234384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5C2F41B-C95A-4839-A555-2C0F45191206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4"/>
        <c:dLbl>
          <c:idx val="0"/>
          <c:layout>
            <c:manualLayout>
              <c:x val="0"/>
              <c:y val="-4.724194458627833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EB97295-1918-4129-93A0-44CC8A2EB3DA}" type="CELLRANGE">
                  <a:rPr lang="en-US"/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[CELLRANGE]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1"/>
            </c:ext>
          </c:extLst>
        </c:dLbl>
      </c:pivotFmt>
      <c:pivotFmt>
        <c:idx val="95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b="1"/>
              </a:p>
            </c:rich>
          </c:tx>
          <c:spPr>
            <a:noFill/>
            <a:ln>
              <a:noFill/>
            </a:ln>
            <a:effectLst/>
          </c:sp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866498367093427"/>
          <c:y val="0.11872582480091012"/>
          <c:w val="0.74737737172166452"/>
          <c:h val="0.5884607598111669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'[StarterBook.xlsx]Category Stats'!$F$5:$F$13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8"/>
              <c:layout>
                <c:manualLayout>
                  <c:x val="-2.0581423596002534E-3"/>
                  <c:y val="-4.1682168541778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40C-4CB5-AD0A-4004C3BF51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'[StarterBook.xlsx]Category Stats'!$F$5:$F$13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'[StarterBook.xlsx]Category Stats'!$F$5:$F$13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0C-4CB5-AD0A-4004C3BF513F}"/>
            </c:ext>
          </c:extLst>
        </c:ser>
        <c:ser>
          <c:idx val="1"/>
          <c:order val="1"/>
          <c:tx>
            <c:strRef>
              <c:f>'[StarterBook.xlsx]Category Stats'!$F$5:$F$13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'[StarterBook.xlsx]Category Stats'!$F$5:$F$13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'[StarterBook.xlsx]Category Stats'!$F$5:$F$13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140</c:v>
                </c:pt>
                <c:pt idx="6">
                  <c:v>117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0C-4CB5-AD0A-4004C3BF513F}"/>
            </c:ext>
          </c:extLst>
        </c:ser>
        <c:ser>
          <c:idx val="2"/>
          <c:order val="2"/>
          <c:tx>
            <c:strRef>
              <c:f>'[StarterBook.xlsx]Category Stats'!$F$5:$F$13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'[StarterBook.xlsx]Category Stats'!$F$5:$F$13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'[StarterBook.xlsx]Category Stats'!$F$5:$F$13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0C-4CB5-AD0A-4004C3BF513F}"/>
            </c:ext>
          </c:extLst>
        </c:ser>
        <c:ser>
          <c:idx val="3"/>
          <c:order val="3"/>
          <c:tx>
            <c:strRef>
              <c:f>'[StarterBook.xlsx]Category Stats'!$F$5:$F$13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1907260397911012"/>
                </c:manualLayout>
              </c:layout>
              <c:tx>
                <c:rich>
                  <a:bodyPr/>
                  <a:lstStyle/>
                  <a:p>
                    <a:fld id="{E31486A7-3BC0-4FD2-9EEB-7DD8D3C46B8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C40C-4CB5-AD0A-4004C3BF513F}"/>
                </c:ext>
              </c:extLst>
            </c:dLbl>
            <c:dLbl>
              <c:idx val="1"/>
              <c:layout>
                <c:manualLayout>
                  <c:x val="0"/>
                  <c:y val="-0.13119095607929554"/>
                </c:manualLayout>
              </c:layout>
              <c:tx>
                <c:rich>
                  <a:bodyPr/>
                  <a:lstStyle/>
                  <a:p>
                    <a:fld id="{D7F1228E-F4C5-481C-AE10-5D11D39E778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40C-4CB5-AD0A-4004C3BF513F}"/>
                </c:ext>
              </c:extLst>
            </c:dLbl>
            <c:dLbl>
              <c:idx val="2"/>
              <c:layout>
                <c:manualLayout>
                  <c:x val="-3.7319331394501352E-17"/>
                  <c:y val="-7.9423467970940492E-2"/>
                </c:manualLayout>
              </c:layout>
              <c:tx>
                <c:rich>
                  <a:bodyPr/>
                  <a:lstStyle/>
                  <a:p>
                    <a:fld id="{26E7028C-79B1-48D7-9C8E-26092FBE2C1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C40C-4CB5-AD0A-4004C3BF513F}"/>
                </c:ext>
              </c:extLst>
            </c:dLbl>
            <c:dLbl>
              <c:idx val="3"/>
              <c:layout>
                <c:manualLayout>
                  <c:x val="0"/>
                  <c:y val="-9.1607320416006013E-2"/>
                </c:manualLayout>
              </c:layout>
              <c:tx>
                <c:rich>
                  <a:bodyPr/>
                  <a:lstStyle/>
                  <a:p>
                    <a:fld id="{EABCD80F-B19F-472D-89DE-F44FDA29E55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C40C-4CB5-AD0A-4004C3BF513F}"/>
                </c:ext>
              </c:extLst>
            </c:dLbl>
            <c:dLbl>
              <c:idx val="4"/>
              <c:layout>
                <c:manualLayout>
                  <c:x val="0"/>
                  <c:y val="-5.1150466259976886E-2"/>
                </c:manualLayout>
              </c:layout>
              <c:tx>
                <c:rich>
                  <a:bodyPr/>
                  <a:lstStyle/>
                  <a:p>
                    <a:fld id="{09FF61F7-6B55-40C8-A694-4288988B0F6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C40C-4CB5-AD0A-4004C3BF513F}"/>
                </c:ext>
              </c:extLst>
            </c:dLbl>
            <c:dLbl>
              <c:idx val="5"/>
              <c:layout>
                <c:manualLayout>
                  <c:x val="0"/>
                  <c:y val="-4.6599840548941708E-2"/>
                </c:manualLayout>
              </c:layout>
              <c:tx>
                <c:rich>
                  <a:bodyPr/>
                  <a:lstStyle/>
                  <a:p>
                    <a:fld id="{8FD8D34D-34B5-48D2-BDEC-7B1818BB487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C40C-4CB5-AD0A-4004C3BF513F}"/>
                </c:ext>
              </c:extLst>
            </c:dLbl>
            <c:dLbl>
              <c:idx val="6"/>
              <c:layout>
                <c:manualLayout>
                  <c:x val="-7.4638662789002703E-17"/>
                  <c:y val="-5.5380039952343842E-2"/>
                </c:manualLayout>
              </c:layout>
              <c:tx>
                <c:rich>
                  <a:bodyPr/>
                  <a:lstStyle/>
                  <a:p>
                    <a:fld id="{05ECD87B-02AE-464F-BEA4-5BBF6F4C068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C40C-4CB5-AD0A-4004C3BF513F}"/>
                </c:ext>
              </c:extLst>
            </c:dLbl>
            <c:dLbl>
              <c:idx val="7"/>
              <c:layout>
                <c:manualLayout>
                  <c:x val="0"/>
                  <c:y val="-4.7241944586278332E-2"/>
                </c:manualLayout>
              </c:layout>
              <c:tx>
                <c:rich>
                  <a:bodyPr/>
                  <a:lstStyle/>
                  <a:p>
                    <a:fld id="{9D2671F8-36E9-488D-A163-8D8234F655F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C40C-4CB5-AD0A-4004C3BF513F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b="1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40C-4CB5-AD0A-4004C3BF51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'[StarterBook.xlsx]Category Stats'!$F$5:$F$13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'[StarterBook.xlsx]Category Stats'!$F$5:$F$13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80</c:v>
                </c:pt>
                <c:pt idx="6">
                  <c:v>103</c:v>
                </c:pt>
                <c:pt idx="7">
                  <c:v>34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'[StarterBook.xlsx]Category Stats'!$F$5:$F$13</c15:f>
                <c15:dlblRangeCache>
                  <c:ptCount val="9"/>
                  <c:pt idx="0">
                    <c:v>1393</c:v>
                  </c:pt>
                  <c:pt idx="1">
                    <c:v>700</c:v>
                  </c:pt>
                  <c:pt idx="2">
                    <c:v>600</c:v>
                  </c:pt>
                  <c:pt idx="3">
                    <c:v>520</c:v>
                  </c:pt>
                  <c:pt idx="4">
                    <c:v>237</c:v>
                  </c:pt>
                  <c:pt idx="5">
                    <c:v>220</c:v>
                  </c:pt>
                  <c:pt idx="6">
                    <c:v>220</c:v>
                  </c:pt>
                  <c:pt idx="7">
                    <c:v>200</c:v>
                  </c:pt>
                  <c:pt idx="8">
                    <c:v>24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D-C40C-4CB5-AD0A-4004C3BF5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18185720"/>
        <c:axId val="718186048"/>
      </c:barChart>
      <c:catAx>
        <c:axId val="718185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6048"/>
        <c:crosses val="autoZero"/>
        <c:auto val="1"/>
        <c:lblAlgn val="ctr"/>
        <c:lblOffset val="100"/>
        <c:noMultiLvlLbl val="0"/>
      </c:catAx>
      <c:valAx>
        <c:axId val="7181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5720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 Stats!PivotTable1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Stats'!$B$4:$B$5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'Sub-Category Stats'!$A$6:$A$24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indie rock</c:v>
                </c:pt>
                <c:pt idx="5">
                  <c:v>web</c:v>
                </c:pt>
                <c:pt idx="6">
                  <c:v>hardware</c:v>
                </c:pt>
                <c:pt idx="7">
                  <c:v>musical</c:v>
                </c:pt>
                <c:pt idx="8">
                  <c:v>jazz</c:v>
                </c:pt>
                <c:pt idx="9">
                  <c:v>faith</c:v>
                </c:pt>
                <c:pt idx="10">
                  <c:v>space exploration</c:v>
                </c:pt>
                <c:pt idx="11">
                  <c:v>pop</c:v>
                </c:pt>
                <c:pt idx="12">
                  <c:v>electronic music</c:v>
                </c:pt>
                <c:pt idx="13">
                  <c:v>classical music</c:v>
                </c:pt>
                <c:pt idx="14">
                  <c:v>world music</c:v>
                </c:pt>
                <c:pt idx="15">
                  <c:v>makerspaces</c:v>
                </c:pt>
                <c:pt idx="16">
                  <c:v>gadgets</c:v>
                </c:pt>
                <c:pt idx="17">
                  <c:v>metal</c:v>
                </c:pt>
              </c:strCache>
            </c:strRef>
          </c:cat>
          <c:val>
            <c:numRef>
              <c:f>'Sub-Category Stats'!$B$6:$B$24</c:f>
              <c:numCache>
                <c:formatCode>General</c:formatCode>
                <c:ptCount val="18"/>
                <c:pt idx="2">
                  <c:v>60</c:v>
                </c:pt>
                <c:pt idx="3">
                  <c:v>17</c:v>
                </c:pt>
                <c:pt idx="5">
                  <c:v>100</c:v>
                </c:pt>
                <c:pt idx="7">
                  <c:v>20</c:v>
                </c:pt>
                <c:pt idx="10">
                  <c:v>18</c:v>
                </c:pt>
                <c:pt idx="1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0B-4F13-827A-A33F0883AAE4}"/>
            </c:ext>
          </c:extLst>
        </c:ser>
        <c:ser>
          <c:idx val="1"/>
          <c:order val="1"/>
          <c:tx>
            <c:strRef>
              <c:f>'Sub-Category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'Sub-Category Stats'!$A$6:$A$24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indie rock</c:v>
                </c:pt>
                <c:pt idx="5">
                  <c:v>web</c:v>
                </c:pt>
                <c:pt idx="6">
                  <c:v>hardware</c:v>
                </c:pt>
                <c:pt idx="7">
                  <c:v>musical</c:v>
                </c:pt>
                <c:pt idx="8">
                  <c:v>jazz</c:v>
                </c:pt>
                <c:pt idx="9">
                  <c:v>faith</c:v>
                </c:pt>
                <c:pt idx="10">
                  <c:v>space exploration</c:v>
                </c:pt>
                <c:pt idx="11">
                  <c:v>pop</c:v>
                </c:pt>
                <c:pt idx="12">
                  <c:v>electronic music</c:v>
                </c:pt>
                <c:pt idx="13">
                  <c:v>classical music</c:v>
                </c:pt>
                <c:pt idx="14">
                  <c:v>world music</c:v>
                </c:pt>
                <c:pt idx="15">
                  <c:v>makerspaces</c:v>
                </c:pt>
                <c:pt idx="16">
                  <c:v>gadgets</c:v>
                </c:pt>
                <c:pt idx="17">
                  <c:v>metal</c:v>
                </c:pt>
              </c:strCache>
            </c:strRef>
          </c:cat>
          <c:val>
            <c:numRef>
              <c:f>'Sub-Category Stats'!$C$6:$C$24</c:f>
              <c:numCache>
                <c:formatCode>General</c:formatCode>
                <c:ptCount val="18"/>
                <c:pt idx="0">
                  <c:v>353</c:v>
                </c:pt>
                <c:pt idx="2">
                  <c:v>120</c:v>
                </c:pt>
                <c:pt idx="3">
                  <c:v>80</c:v>
                </c:pt>
                <c:pt idx="4">
                  <c:v>20</c:v>
                </c:pt>
                <c:pt idx="5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40</c:v>
                </c:pt>
                <c:pt idx="10">
                  <c:v>2</c:v>
                </c:pt>
                <c:pt idx="15">
                  <c:v>11</c:v>
                </c:pt>
                <c:pt idx="1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0B-4F13-827A-A33F0883AAE4}"/>
            </c:ext>
          </c:extLst>
        </c:ser>
        <c:ser>
          <c:idx val="2"/>
          <c:order val="2"/>
          <c:tx>
            <c:strRef>
              <c:f>'Sub-Category Stats'!$D$4:$D$5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Stats'!$A$6:$A$24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indie rock</c:v>
                </c:pt>
                <c:pt idx="5">
                  <c:v>web</c:v>
                </c:pt>
                <c:pt idx="6">
                  <c:v>hardware</c:v>
                </c:pt>
                <c:pt idx="7">
                  <c:v>musical</c:v>
                </c:pt>
                <c:pt idx="8">
                  <c:v>jazz</c:v>
                </c:pt>
                <c:pt idx="9">
                  <c:v>faith</c:v>
                </c:pt>
                <c:pt idx="10">
                  <c:v>space exploration</c:v>
                </c:pt>
                <c:pt idx="11">
                  <c:v>pop</c:v>
                </c:pt>
                <c:pt idx="12">
                  <c:v>electronic music</c:v>
                </c:pt>
                <c:pt idx="13">
                  <c:v>classical music</c:v>
                </c:pt>
                <c:pt idx="14">
                  <c:v>world music</c:v>
                </c:pt>
                <c:pt idx="15">
                  <c:v>makerspaces</c:v>
                </c:pt>
                <c:pt idx="16">
                  <c:v>gadgets</c:v>
                </c:pt>
                <c:pt idx="17">
                  <c:v>metal</c:v>
                </c:pt>
              </c:strCache>
            </c:strRef>
          </c:cat>
          <c:val>
            <c:numRef>
              <c:f>'Sub-Category Stats'!$D$6:$D$24</c:f>
              <c:numCache>
                <c:formatCode>General</c:formatCode>
                <c:ptCount val="18"/>
                <c:pt idx="0">
                  <c:v>19</c:v>
                </c:pt>
                <c:pt idx="3">
                  <c:v>5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0B-4F13-827A-A33F0883AAE4}"/>
            </c:ext>
          </c:extLst>
        </c:ser>
        <c:ser>
          <c:idx val="3"/>
          <c:order val="3"/>
          <c:tx>
            <c:strRef>
              <c:f>'Sub-Category Stats'!$E$4:$E$5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 Stats'!$A$6:$A$24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indie rock</c:v>
                </c:pt>
                <c:pt idx="5">
                  <c:v>web</c:v>
                </c:pt>
                <c:pt idx="6">
                  <c:v>hardware</c:v>
                </c:pt>
                <c:pt idx="7">
                  <c:v>musical</c:v>
                </c:pt>
                <c:pt idx="8">
                  <c:v>jazz</c:v>
                </c:pt>
                <c:pt idx="9">
                  <c:v>faith</c:v>
                </c:pt>
                <c:pt idx="10">
                  <c:v>space exploration</c:v>
                </c:pt>
                <c:pt idx="11">
                  <c:v>pop</c:v>
                </c:pt>
                <c:pt idx="12">
                  <c:v>electronic music</c:v>
                </c:pt>
                <c:pt idx="13">
                  <c:v>classical music</c:v>
                </c:pt>
                <c:pt idx="14">
                  <c:v>world music</c:v>
                </c:pt>
                <c:pt idx="15">
                  <c:v>makerspaces</c:v>
                </c:pt>
                <c:pt idx="16">
                  <c:v>gadgets</c:v>
                </c:pt>
                <c:pt idx="17">
                  <c:v>metal</c:v>
                </c:pt>
              </c:strCache>
            </c:strRef>
          </c:cat>
          <c:val>
            <c:numRef>
              <c:f>'Sub-Category Stats'!$E$6:$E$24</c:f>
              <c:numCache>
                <c:formatCode>General</c:formatCode>
                <c:ptCount val="18"/>
                <c:pt idx="0">
                  <c:v>694</c:v>
                </c:pt>
                <c:pt idx="1">
                  <c:v>260</c:v>
                </c:pt>
                <c:pt idx="2">
                  <c:v>20</c:v>
                </c:pt>
                <c:pt idx="3">
                  <c:v>85</c:v>
                </c:pt>
                <c:pt idx="4">
                  <c:v>140</c:v>
                </c:pt>
                <c:pt idx="6">
                  <c:v>140</c:v>
                </c:pt>
                <c:pt idx="7">
                  <c:v>60</c:v>
                </c:pt>
                <c:pt idx="10">
                  <c:v>40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5">
                  <c:v>9</c:v>
                </c:pt>
                <c:pt idx="1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0B-4F13-827A-A33F0883A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18185720"/>
        <c:axId val="718186048"/>
      </c:barChart>
      <c:catAx>
        <c:axId val="718185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6048"/>
        <c:crosses val="autoZero"/>
        <c:auto val="1"/>
        <c:lblAlgn val="ctr"/>
        <c:lblOffset val="100"/>
        <c:noMultiLvlLbl val="0"/>
      </c:catAx>
      <c:valAx>
        <c:axId val="7181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5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 %!PivotTable1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Status</a:t>
            </a:r>
            <a:r>
              <a:rPr lang="en-US" baseline="0"/>
              <a:t> Pecent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 %'!$B$3:$B$4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 %'!$A$5:$A$14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 %'!$B$5:$B$14</c:f>
              <c:numCache>
                <c:formatCode>0%</c:formatCode>
                <c:ptCount val="9"/>
                <c:pt idx="0">
                  <c:v>0.60229720028715006</c:v>
                </c:pt>
                <c:pt idx="1">
                  <c:v>0.77142857142857146</c:v>
                </c:pt>
                <c:pt idx="2">
                  <c:v>0.34833333333333333</c:v>
                </c:pt>
                <c:pt idx="3">
                  <c:v>0.57692307692307687</c:v>
                </c:pt>
                <c:pt idx="4">
                  <c:v>0.33755274261603374</c:v>
                </c:pt>
                <c:pt idx="5">
                  <c:v>0.36363636363636365</c:v>
                </c:pt>
                <c:pt idx="6">
                  <c:v>0.4681818181818182</c:v>
                </c:pt>
                <c:pt idx="7">
                  <c:v>0.17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54-4DD1-BDD7-0CD7381487CE}"/>
            </c:ext>
          </c:extLst>
        </c:ser>
        <c:ser>
          <c:idx val="1"/>
          <c:order val="1"/>
          <c:tx>
            <c:strRef>
              <c:f>'Category Stats %'!$C$3:$C$4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Stats %'!$A$5:$A$14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 %'!$C$5:$C$14</c:f>
              <c:numCache>
                <c:formatCode>0%</c:formatCode>
                <c:ptCount val="9"/>
                <c:pt idx="0">
                  <c:v>0.35391241923905242</c:v>
                </c:pt>
                <c:pt idx="1">
                  <c:v>0.17142857142857143</c:v>
                </c:pt>
                <c:pt idx="2">
                  <c:v>0.35499999999999998</c:v>
                </c:pt>
                <c:pt idx="3">
                  <c:v>0.34615384615384615</c:v>
                </c:pt>
                <c:pt idx="4">
                  <c:v>0.53586497890295359</c:v>
                </c:pt>
                <c:pt idx="5">
                  <c:v>0.63636363636363635</c:v>
                </c:pt>
                <c:pt idx="6">
                  <c:v>0.53181818181818186</c:v>
                </c:pt>
                <c:pt idx="7">
                  <c:v>0.7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54-4DD1-BDD7-0CD7381487CE}"/>
            </c:ext>
          </c:extLst>
        </c:ser>
        <c:ser>
          <c:idx val="2"/>
          <c:order val="2"/>
          <c:tx>
            <c:strRef>
              <c:f>'Category Stats %'!$D$3:$D$4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Stats %'!$A$5:$A$14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 %'!$D$5:$D$14</c:f>
              <c:numCache>
                <c:formatCode>0%</c:formatCode>
                <c:ptCount val="9"/>
                <c:pt idx="0">
                  <c:v>2.6561378320172292E-2</c:v>
                </c:pt>
                <c:pt idx="1">
                  <c:v>2.8571428571428571E-2</c:v>
                </c:pt>
                <c:pt idx="2">
                  <c:v>0.29666666666666669</c:v>
                </c:pt>
                <c:pt idx="3">
                  <c:v>7.6923076923076927E-2</c:v>
                </c:pt>
                <c:pt idx="4">
                  <c:v>0.12658227848101267</c:v>
                </c:pt>
                <c:pt idx="5">
                  <c:v>0</c:v>
                </c:pt>
                <c:pt idx="6">
                  <c:v>0</c:v>
                </c:pt>
                <c:pt idx="7">
                  <c:v>0.1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54-4DD1-BDD7-0CD7381487CE}"/>
            </c:ext>
          </c:extLst>
        </c:ser>
        <c:ser>
          <c:idx val="3"/>
          <c:order val="3"/>
          <c:tx>
            <c:strRef>
              <c:f>'Category Stats %'!$E$3:$E$4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 %'!$A$5:$A$14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'Category Stats %'!$E$5:$E$14</c:f>
              <c:numCache>
                <c:formatCode>0%</c:formatCode>
                <c:ptCount val="9"/>
                <c:pt idx="0">
                  <c:v>1.7229002153625269E-2</c:v>
                </c:pt>
                <c:pt idx="1">
                  <c:v>2.8571428571428571E-2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0.03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54-4DD1-BDD7-0CD738148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18185720"/>
        <c:axId val="718186048"/>
      </c:barChart>
      <c:catAx>
        <c:axId val="718185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6048"/>
        <c:crosses val="autoZero"/>
        <c:auto val="1"/>
        <c:lblAlgn val="ctr"/>
        <c:lblOffset val="100"/>
        <c:noMultiLvlLbl val="0"/>
      </c:catAx>
      <c:valAx>
        <c:axId val="71818604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Status</a:t>
                </a:r>
                <a:r>
                  <a:rPr lang="en-US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85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 % vs</a:t>
            </a:r>
            <a:r>
              <a:rPr lang="en-US" baseline="0"/>
              <a:t> Goal Range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'[StarterBook.xlsx]$ Bucket Table'!$I$2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'[StarterBook.xlsx]$ Bucket Table'!$B$3:$B$14</c:f>
              <c:numCache>
                <c:formatCode>"$"#,##0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  <c:pt idx="6">
                  <c:v>25000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  <c:pt idx="10">
                  <c:v>45000</c:v>
                </c:pt>
                <c:pt idx="11">
                  <c:v>50000</c:v>
                </c:pt>
              </c:numCache>
            </c:numRef>
          </c:cat>
          <c:val>
            <c:numRef>
              <c:f>'[StarterBook.xlsx]$ Bucket Table'!$I$3:$I$14</c:f>
              <c:numCache>
                <c:formatCode>0</c:formatCode>
                <c:ptCount val="12"/>
                <c:pt idx="0">
                  <c:v>69.148936170212778</c:v>
                </c:pt>
                <c:pt idx="1">
                  <c:v>64.554317548746525</c:v>
                </c:pt>
                <c:pt idx="2">
                  <c:v>52.309782608695656</c:v>
                </c:pt>
                <c:pt idx="3">
                  <c:v>47.777777777777779</c:v>
                </c:pt>
                <c:pt idx="4">
                  <c:v>45.023696682464454</c:v>
                </c:pt>
                <c:pt idx="5">
                  <c:v>38.235294117647058</c:v>
                </c:pt>
                <c:pt idx="6">
                  <c:v>43.150684931506852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28.000000000000004</c:v>
                </c:pt>
                <c:pt idx="11">
                  <c:v>19.323671497584542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A-4484-A639-C5E47920D614}"/>
            </c:ext>
          </c:extLst>
        </c:ser>
        <c:ser>
          <c:idx val="1"/>
          <c:order val="1"/>
          <c:tx>
            <c:strRef>
              <c:f>'[StarterBook.xlsx]$ Bucket Table'!$J$2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'[StarterBook.xlsx]$ Bucket Table'!$B$3:$B$14</c:f>
              <c:numCache>
                <c:formatCode>"$"#,##0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  <c:pt idx="6">
                  <c:v>25000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  <c:pt idx="10">
                  <c:v>45000</c:v>
                </c:pt>
                <c:pt idx="11">
                  <c:v>50000</c:v>
                </c:pt>
              </c:numCache>
            </c:numRef>
          </c:cat>
          <c:val>
            <c:numRef>
              <c:f>'[StarterBook.xlsx]$ Bucket Table'!$J$3:$J$14</c:f>
              <c:numCache>
                <c:formatCode>0</c:formatCode>
                <c:ptCount val="12"/>
                <c:pt idx="0">
                  <c:v>25.319148936170212</c:v>
                </c:pt>
                <c:pt idx="1">
                  <c:v>29.735376044568245</c:v>
                </c:pt>
                <c:pt idx="2">
                  <c:v>39.402173913043477</c:v>
                </c:pt>
                <c:pt idx="3">
                  <c:v>39.444444444444443</c:v>
                </c:pt>
                <c:pt idx="4">
                  <c:v>44.075829383886258</c:v>
                </c:pt>
                <c:pt idx="5">
                  <c:v>50</c:v>
                </c:pt>
                <c:pt idx="6">
                  <c:v>45.205479452054789</c:v>
                </c:pt>
                <c:pt idx="7">
                  <c:v>41.25</c:v>
                </c:pt>
                <c:pt idx="8">
                  <c:v>45</c:v>
                </c:pt>
                <c:pt idx="9">
                  <c:v>40</c:v>
                </c:pt>
                <c:pt idx="10">
                  <c:v>44</c:v>
                </c:pt>
                <c:pt idx="11">
                  <c:v>57.487922705314013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A-4484-A639-C5E47920D614}"/>
            </c:ext>
          </c:extLst>
        </c:ser>
        <c:ser>
          <c:idx val="2"/>
          <c:order val="2"/>
          <c:tx>
            <c:strRef>
              <c:f>'[StarterBook.xlsx]$ Bucket Table'!$K$2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'[StarterBook.xlsx]$ Bucket Table'!$B$3:$B$14</c:f>
              <c:numCache>
                <c:formatCode>"$"#,##0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  <c:pt idx="6">
                  <c:v>25000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  <c:pt idx="10">
                  <c:v>45000</c:v>
                </c:pt>
                <c:pt idx="11">
                  <c:v>50000</c:v>
                </c:pt>
              </c:numCache>
            </c:numRef>
          </c:cat>
          <c:val>
            <c:numRef>
              <c:f>'[StarterBook.xlsx]$ Bucket Table'!$K$3:$K$14</c:f>
              <c:numCache>
                <c:formatCode>0</c:formatCode>
                <c:ptCount val="12"/>
                <c:pt idx="0">
                  <c:v>3.8297872340425529</c:v>
                </c:pt>
                <c:pt idx="1">
                  <c:v>4.5264623955431755</c:v>
                </c:pt>
                <c:pt idx="2">
                  <c:v>7.608695652173914</c:v>
                </c:pt>
                <c:pt idx="3">
                  <c:v>10.277777777777777</c:v>
                </c:pt>
                <c:pt idx="4">
                  <c:v>9.0047393364928912</c:v>
                </c:pt>
                <c:pt idx="5">
                  <c:v>11.029411764705882</c:v>
                </c:pt>
                <c:pt idx="6">
                  <c:v>10.95890410958904</c:v>
                </c:pt>
                <c:pt idx="7">
                  <c:v>16.25</c:v>
                </c:pt>
                <c:pt idx="8">
                  <c:v>10</c:v>
                </c:pt>
                <c:pt idx="9">
                  <c:v>10</c:v>
                </c:pt>
                <c:pt idx="10">
                  <c:v>28.000000000000004</c:v>
                </c:pt>
                <c:pt idx="11">
                  <c:v>22.463768115942027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5A-4484-A639-C5E47920D614}"/>
            </c:ext>
          </c:extLst>
        </c:ser>
        <c:ser>
          <c:idx val="3"/>
          <c:order val="3"/>
          <c:tx>
            <c:strRef>
              <c:f>'[StarterBook.xlsx]$ Bucket Table'!$L$2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'[StarterBook.xlsx]$ Bucket Table'!$B$3:$B$14</c:f>
              <c:numCache>
                <c:formatCode>"$"#,##0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  <c:pt idx="6">
                  <c:v>25000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  <c:pt idx="10">
                  <c:v>45000</c:v>
                </c:pt>
                <c:pt idx="11">
                  <c:v>50000</c:v>
                </c:pt>
              </c:numCache>
            </c:numRef>
          </c:cat>
          <c:val>
            <c:numRef>
              <c:f>'[StarterBook.xlsx]$ Bucket Table'!$L$3:$L$14</c:f>
              <c:numCache>
                <c:formatCode>0</c:formatCode>
                <c:ptCount val="12"/>
                <c:pt idx="0">
                  <c:v>1.7021276595744681</c:v>
                </c:pt>
                <c:pt idx="1">
                  <c:v>1.1838440111420612</c:v>
                </c:pt>
                <c:pt idx="2">
                  <c:v>0.67934782608695654</c:v>
                </c:pt>
                <c:pt idx="3">
                  <c:v>2.5</c:v>
                </c:pt>
                <c:pt idx="4">
                  <c:v>1.8957345971563981</c:v>
                </c:pt>
                <c:pt idx="5">
                  <c:v>0.73529411764705876</c:v>
                </c:pt>
                <c:pt idx="6">
                  <c:v>0.68493150684931503</c:v>
                </c:pt>
                <c:pt idx="7">
                  <c:v>2.5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0.72463768115942029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5A-4484-A639-C5E47920D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2362200"/>
        <c:axId val="602366136"/>
      </c:barChart>
      <c:catAx>
        <c:axId val="602362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Bottom of Dollar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366136"/>
        <c:crosses val="autoZero"/>
        <c:auto val="1"/>
        <c:lblAlgn val="ctr"/>
        <c:lblOffset val="100"/>
        <c:noMultiLvlLbl val="0"/>
      </c:catAx>
      <c:valAx>
        <c:axId val="60236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Status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362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Bollum</dc:creator>
  <cp:keywords/>
  <dc:description/>
  <cp:lastModifiedBy>Haley Bollum</cp:lastModifiedBy>
  <cp:revision>167</cp:revision>
  <dcterms:created xsi:type="dcterms:W3CDTF">2020-03-11T13:34:00Z</dcterms:created>
  <dcterms:modified xsi:type="dcterms:W3CDTF">2020-03-13T15:12:00Z</dcterms:modified>
</cp:coreProperties>
</file>