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FA1C86" w:rsidRDefault="00C83D7C"/>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C83D7C"/>
    <w:p w:rsidR="00C52E75" w:rsidRDefault="00C83D7C">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C83D7C"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1935.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6800C7">
                    <w:rPr>
                      <w:noProof/>
                    </w:rPr>
                    <w:t>1</w:t>
                  </w:r>
                  <w:r>
                    <w:fldChar w:fldCharType="end"/>
                  </w:r>
                  <w:bookmarkEnd w:id="0"/>
                  <w:r>
                    <w:t>.</w:t>
                  </w:r>
                  <w:proofErr w:type="gramEnd"/>
                  <w:r>
                    <w:t xml:space="preserve"> </w:t>
                  </w:r>
                  <w:proofErr w:type="gramStart"/>
                  <w:r w:rsidR="00710D6B">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6800C7">
        <w:t>[1</w:t>
      </w:r>
      <w:proofErr w:type="gramStart"/>
      <w:r w:rsidR="006800C7">
        <w:t>]</w:t>
      </w:r>
      <w:proofErr w:type="gramEnd"/>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1"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C83D7C"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see-</w:t>
      </w:r>
      <w:proofErr w:type="gramStart"/>
      <w:r w:rsidR="00457B97">
        <w:t>through</w:t>
      </w:r>
      <w:proofErr w:type="gramEnd"/>
      <w:r w:rsidR="00457B97">
        <w:t xml:space="preserve">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r w:rsidR="00EC04E3">
        <w:t xml:space="preserve"> [1 column]</w:t>
      </w:r>
    </w:p>
    <w:p w:rsidR="00B8281E" w:rsidRDefault="00CD3102" w:rsidP="00CD3102">
      <w:pPr>
        <w:pStyle w:val="Text"/>
        <w:ind w:firstLine="0"/>
      </w:pPr>
      <w:r>
        <w:t xml:space="preserve">Color blending is the phenomenon where </w:t>
      </w:r>
      <w:r>
        <w:t>background light coming from real-world object mixes with the light emitted by the display</w:t>
      </w:r>
      <w:r>
        <w:t xml:space="preserve"> and changes it.  </w:t>
      </w:r>
      <w:r>
        <w:fldChar w:fldCharType="begin"/>
      </w:r>
      <w:r>
        <w:instrText xml:space="preserve"> REF _Ref354163266 \h </w:instrText>
      </w:r>
      <w:r>
        <w:fldChar w:fldCharType="separate"/>
      </w:r>
      <w:r>
        <w:t xml:space="preserve">Figure </w:t>
      </w:r>
      <w:r>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t xml:space="preserve">Figure </w:t>
      </w:r>
      <w:r>
        <w:rPr>
          <w:noProof/>
        </w:rPr>
        <w:t>2</w:t>
      </w:r>
      <w:r>
        <w:fldChar w:fldCharType="end"/>
      </w:r>
      <w:r>
        <w:t>-bottom shows th</w:t>
      </w:r>
      <w:r>
        <w:t xml:space="preserve">e corresponding shift in color: the yellow text shifts </w:t>
      </w:r>
      <w:r>
        <w:t xml:space="preserve">toward orange </w:t>
      </w:r>
      <w:r>
        <w:t xml:space="preserve">when the background is red, while the green text shifts </w:t>
      </w:r>
      <w:r>
        <w:t xml:space="preserve">toward green </w:t>
      </w:r>
      <w:r>
        <w:t xml:space="preserve">when the </w:t>
      </w:r>
      <w:r>
        <w:t>background</w:t>
      </w:r>
      <w:r>
        <w:t xml:space="preserve">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3102">
        <w:t>[4]</w:t>
      </w:r>
      <w:r w:rsidR="00CD3102">
        <w:fldChar w:fldCharType="end"/>
      </w:r>
      <w:r w:rsidR="00B8281E">
        <w:t xml:space="preserve"> </w:t>
      </w:r>
      <w:r w:rsidR="008E5DE5">
        <w:t>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w:t>
      </w:r>
      <w:r w:rsidR="008E5DE5">
        <w:t xml:space="preserve">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w:lastRenderedPageBreak/>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Pr>
          <w:rFonts w:eastAsiaTheme="minorEastAsia"/>
        </w:rPr>
        <w:tab/>
      </w:r>
      <w:r>
        <w:rPr>
          <w:rFonts w:eastAsiaTheme="minorEastAsia"/>
        </w:rPr>
        <w:tab/>
        <w:t>(1)</w:t>
      </w:r>
    </w:p>
    <w:p w:rsidR="00FF3F57" w:rsidRDefault="00C83D7C" w:rsidP="00FF3F57">
      <w:pPr>
        <w:pStyle w:val="Text"/>
        <w:ind w:firstLine="0"/>
      </w:pPr>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2C370CB7" wp14:editId="56EFA0D2">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bookmarkStart w:id="1" w:name="_Ref354163262"/>
                  <w:bookmarkStart w:id="2" w:name="_Ref354163266"/>
                  <w:proofErr w:type="gramStart"/>
                  <w:r>
                    <w:t xml:space="preserve">Figure </w:t>
                  </w:r>
                  <w:r>
                    <w:fldChar w:fldCharType="begin"/>
                  </w:r>
                  <w:r>
                    <w:instrText xml:space="preserve"> SEQ Figure \* ARABIC </w:instrText>
                  </w:r>
                  <w:r>
                    <w:fldChar w:fldCharType="separate"/>
                  </w:r>
                  <w:r w:rsidR="006800C7">
                    <w:rPr>
                      <w:noProof/>
                    </w:rPr>
                    <w:t>2</w:t>
                  </w:r>
                  <w:r>
                    <w:fldChar w:fldCharType="end"/>
                  </w:r>
                  <w:bookmarkEnd w:id="2"/>
                  <w:r>
                    <w:t>.</w:t>
                  </w:r>
                  <w:proofErr w:type="gramEnd"/>
                  <w:r>
                    <w:t xml:space="preserve"> Examples of color blending</w:t>
                  </w:r>
                  <w:bookmarkEnd w:id="1"/>
                </w:p>
              </w:txbxContent>
            </v:textbox>
            <w10:wrap type="square" anchorx="margin" anchory="margin"/>
          </v:shape>
        </w:pict>
      </w: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At the core of color compensation is the capacity to estimate how two colors blend; or more specifically, how any 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 xml:space="preserve">estimating color blending. </w:t>
      </w:r>
      <w:r w:rsidR="00076429">
        <w:fldChar w:fldCharType="begin"/>
      </w:r>
      <w:r w:rsidR="00076429">
        <w:instrText xml:space="preserve"> REF _Ref353725098 \h </w:instrText>
      </w:r>
      <w:r w:rsidR="00076429">
        <w:fldChar w:fldCharType="separate"/>
      </w:r>
      <w:r w:rsidR="00076429">
        <w:t xml:space="preserve">Figure </w:t>
      </w:r>
      <w:r w:rsidR="00076429">
        <w:rPr>
          <w:noProof/>
        </w:rPr>
        <w:t>1</w:t>
      </w:r>
      <w:r w:rsidR="00076429">
        <w:fldChar w:fldCharType="end"/>
      </w:r>
      <w:r w:rsidR="00076429">
        <w:t xml:space="preserve"> illustrates this condition </w:t>
      </w:r>
      <w:r w:rsidR="00365A6A">
        <w:t>as the difference in</w:t>
      </w:r>
      <w:r w:rsidR="00076429">
        <w:t xml:space="preserve"> hues </w:t>
      </w:r>
      <w:r w:rsidR="00365A6A">
        <w:t xml:space="preserve">between </w:t>
      </w:r>
      <w:r w:rsidR="00076429">
        <w:t>the “digital col</w:t>
      </w:r>
      <w:bookmarkStart w:id="3" w:name="_GoBack"/>
      <w:bookmarkEnd w:id="3"/>
      <w:r w:rsidR="00076429">
        <w:t>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w:t>
      </w:r>
      <w:r w:rsidR="0024544D">
        <w:t xml:space="preserve">background color </w:t>
      </w:r>
      <w:r w:rsidR="00076429">
        <w:t xml:space="preserve">before </w:t>
      </w:r>
      <w:r w:rsidR="00113960">
        <w:t>blending</w:t>
      </w:r>
      <w:r w:rsidR="0024544D">
        <w:t xml:space="preserve"> </w:t>
      </w:r>
      <w:r w:rsidR="0024544D">
        <w:t>(BC</w:t>
      </w:r>
      <w:r w:rsidR="0024544D" w:rsidRPr="00113960">
        <w:rPr>
          <w:vertAlign w:val="subscript"/>
        </w:rPr>
        <w:t>D</w:t>
      </w:r>
      <w:r w:rsidR="0024544D">
        <w:t>)</w:t>
      </w:r>
      <w:r w:rsidR="00113960">
        <w:t xml:space="preserve">. In our formulation we simplify the light and reflectance of the background (the </w:t>
      </w:r>
      <w:proofErr w:type="gramStart"/>
      <w:r w:rsidR="00113960">
        <w:t>RF(</w:t>
      </w:r>
      <w:proofErr w:type="gramEnd"/>
      <w:r w:rsidR="00113960">
        <w:t>L1,B) component of equation 1) into the single entity “background color” (BC), so that our formulation can be expressed as:</w:t>
      </w:r>
    </w:p>
    <w:p w:rsidR="00113960" w:rsidRDefault="00113960" w:rsidP="00FF3F57">
      <w:pPr>
        <w:pStyle w:val="Text"/>
        <w:ind w:firstLine="0"/>
      </w:pPr>
    </w:p>
    <w:p w:rsidR="00365A6A" w:rsidRDefault="00113960" w:rsidP="00113960">
      <w:pPr>
        <w:pStyle w:val="Text"/>
        <w:jc w:val="right"/>
        <w:rPr>
          <w:rFonts w:eastAsiaTheme="minorEastAsia"/>
        </w:rPr>
      </w:pPr>
      <m:oMath>
        <m:r>
          <w:rPr>
            <w:rFonts w:ascii="Cambria Math" w:hAnsi="Cambria Math"/>
          </w:rPr>
          <m:t>CP=HP</m:t>
        </m:r>
        <m:d>
          <m:dPr>
            <m:ctrlPr>
              <w:rPr>
                <w:rFonts w:ascii="Cambria Math" w:hAnsi="Cambria Math"/>
                <w:i/>
              </w:rPr>
            </m:ctrlPr>
          </m:dPr>
          <m:e>
            <m:r>
              <w:rPr>
                <w:rFonts w:ascii="Cambria Math" w:hAnsi="Cambria Math"/>
              </w:rPr>
              <m:t>CS+</m:t>
            </m:r>
            <m:sSub>
              <m:sSubPr>
                <m:ctrlPr>
                  <w:rPr>
                    <w:rFonts w:ascii="Cambria Math" w:hAnsi="Cambria Math"/>
                    <w:i/>
                  </w:rPr>
                </m:ctrlPr>
              </m:sSubPr>
              <m:e>
                <m:r>
                  <w:rPr>
                    <w:rFonts w:ascii="Cambria Math" w:hAnsi="Cambria Math"/>
                  </w:rPr>
                  <m:t>BC</m:t>
                </m:r>
              </m:e>
              <m:sub>
                <m:r>
                  <w:rPr>
                    <w:rFonts w:ascii="Cambria Math" w:hAnsi="Cambria Math"/>
                  </w:rPr>
                  <m:t>D</m:t>
                </m:r>
              </m:sub>
            </m:sSub>
          </m:e>
        </m:d>
      </m:oMath>
      <w:r w:rsidR="00365A6A">
        <w:rPr>
          <w:rFonts w:eastAsiaTheme="minorEastAsia"/>
        </w:rPr>
        <w:t xml:space="preserve"> </w:t>
      </w:r>
      <w:r w:rsidR="00365A6A">
        <w:rPr>
          <w:rFonts w:eastAsiaTheme="minorEastAsia"/>
        </w:rPr>
        <w:tab/>
      </w:r>
      <w:r w:rsidR="00365A6A">
        <w:rPr>
          <w:rFonts w:eastAsiaTheme="minorEastAsia"/>
        </w:rPr>
        <w:tab/>
        <w:t>(2)</w:t>
      </w:r>
    </w:p>
    <w:p w:rsidR="00113960" w:rsidRPr="008E5DE5" w:rsidRDefault="00365A6A" w:rsidP="00365A6A">
      <w:pPr>
        <w:pStyle w:val="Text"/>
        <w:jc w:val="center"/>
        <w:rPr>
          <w:rFonts w:eastAsiaTheme="minorEastAsia"/>
        </w:rPr>
      </w:pPr>
      <w:proofErr w:type="gramStart"/>
      <w:r>
        <w:rPr>
          <w:rFonts w:eastAsiaTheme="minorEastAsia"/>
        </w:rPr>
        <w:t>with</w:t>
      </w:r>
      <w:proofErr w:type="gramEnd"/>
      <w:r>
        <w:rPr>
          <w:rFonts w:eastAsiaTheme="minorEastAsia"/>
        </w:rPr>
        <w:t xml:space="preserve"> </w:t>
      </w:r>
      <m:oMath>
        <m:r>
          <w:rPr>
            <w:rFonts w:ascii="Cambria Math" w:hAnsi="Cambria Math"/>
          </w:rPr>
          <m:t>C</m:t>
        </m:r>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oMath>
      <w:r>
        <w:rPr>
          <w:rFonts w:eastAsiaTheme="minorEastAsia"/>
        </w:rPr>
        <w:t xml:space="preserve"> and </w:t>
      </w:r>
      <m:oMath>
        <m:r>
          <w:rPr>
            <w:rFonts w:ascii="Cambria Math" w:eastAsiaTheme="minorEastAsia" w:hAnsi="Cambria Math"/>
          </w:rPr>
          <m:t xml:space="preserve">BC=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p>
    <w:p w:rsidR="00113960" w:rsidRDefault="00113960" w:rsidP="00FF3F57">
      <w:pPr>
        <w:pStyle w:val="Text"/>
        <w:ind w:firstLine="0"/>
      </w:pPr>
    </w:p>
    <w:p w:rsidR="0024544D" w:rsidRPr="0024544D" w:rsidRDefault="0024544D" w:rsidP="0024544D">
      <w:pPr>
        <w:pStyle w:val="Text"/>
      </w:pPr>
      <w:r>
        <w:t xml:space="preserve">Key to our understanding of color blending is the characterization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 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FF3F57" w:rsidRDefault="00FF3F57" w:rsidP="00FF3F57">
      <w:pPr>
        <w:pStyle w:val="Heading1"/>
      </w:pPr>
      <w:r>
        <w:t>Related Work</w:t>
      </w:r>
      <w:r w:rsidR="00EC04E3">
        <w:t xml:space="preserve"> [1 Column]</w:t>
      </w:r>
    </w:p>
    <w:p w:rsidR="00B12332" w:rsidRDefault="00B12332" w:rsidP="00C40173">
      <w:pPr>
        <w:pStyle w:val="Heading2"/>
      </w:pPr>
      <w:proofErr w:type="gramStart"/>
      <w:r>
        <w:t>Field-studies of augmented reality.</w:t>
      </w:r>
      <w:proofErr w:type="gramEnd"/>
    </w:p>
    <w:p w:rsidR="00C40173" w:rsidRDefault="00C40173" w:rsidP="00B12332">
      <w:pPr>
        <w:pStyle w:val="Text"/>
        <w:ind w:firstLine="0"/>
      </w:pPr>
      <w:r>
        <w:t xml:space="preserve">Relocation of content, </w:t>
      </w:r>
    </w:p>
    <w:p w:rsidR="00B12332" w:rsidRDefault="00C40173" w:rsidP="00B12332">
      <w:pPr>
        <w:pStyle w:val="Text"/>
        <w:ind w:firstLine="0"/>
      </w:pPr>
      <w:r>
        <w:t>Using the hand to create contrast</w:t>
      </w:r>
    </w:p>
    <w:p w:rsidR="00B12332" w:rsidRDefault="00B12332" w:rsidP="00B12332">
      <w:pPr>
        <w:pStyle w:val="Text"/>
        <w:ind w:firstLine="0"/>
      </w:pPr>
    </w:p>
    <w:p w:rsidR="00C40173" w:rsidRDefault="00C40173" w:rsidP="00C40173">
      <w:pPr>
        <w:pStyle w:val="Heading2"/>
      </w:pPr>
      <w:r>
        <w:t xml:space="preserve">Color </w:t>
      </w:r>
      <w:r w:rsidR="00365A6A">
        <w:t>Compensation</w:t>
      </w:r>
    </w:p>
    <w:p w:rsidR="00B12332" w:rsidRDefault="00B12332" w:rsidP="00B12332">
      <w:pPr>
        <w:pStyle w:val="Text"/>
        <w:ind w:firstLine="0"/>
      </w:pPr>
      <w:proofErr w:type="gramStart"/>
      <w:r>
        <w:t>Colorimetric compensation in projector-based see-through displays.</w:t>
      </w:r>
      <w:proofErr w:type="gramEnd"/>
    </w:p>
    <w:p w:rsidR="00F94528" w:rsidRDefault="00B12332" w:rsidP="00B12332">
      <w:pPr>
        <w:pStyle w:val="Text"/>
        <w:ind w:firstLine="0"/>
      </w:pPr>
      <w:r>
        <w:t>Color correction in projector-based spatial augmented reality</w:t>
      </w:r>
    </w:p>
    <w:p w:rsidR="00C40173" w:rsidRDefault="00C40173" w:rsidP="00B12332">
      <w:pPr>
        <w:pStyle w:val="Text"/>
        <w:ind w:firstLine="0"/>
      </w:pPr>
    </w:p>
    <w:p w:rsidR="00C40173" w:rsidRDefault="00C40173" w:rsidP="00C40173">
      <w:pPr>
        <w:pStyle w:val="Heading2"/>
      </w:pPr>
      <w:r>
        <w:t>Occlusion</w:t>
      </w:r>
    </w:p>
    <w:p w:rsidR="007E3909" w:rsidRDefault="007E3909" w:rsidP="00B12332">
      <w:pPr>
        <w:pStyle w:val="Text"/>
        <w:ind w:firstLine="0"/>
      </w:pPr>
    </w:p>
    <w:p w:rsidR="007E3909" w:rsidRDefault="007E3909" w:rsidP="007E3909">
      <w:pPr>
        <w:pStyle w:val="Text"/>
        <w:numPr>
          <w:ilvl w:val="0"/>
          <w:numId w:val="18"/>
        </w:numPr>
      </w:pPr>
      <w:r>
        <w:t xml:space="preserve">Increase the intensity of the digital content (mentioned by </w:t>
      </w:r>
      <w:proofErr w:type="spellStart"/>
      <w:r>
        <w:t>Koyikawa</w:t>
      </w:r>
      <w:proofErr w:type="spellEnd"/>
      <w:r>
        <w:t>)</w:t>
      </w:r>
    </w:p>
    <w:p w:rsidR="007E3909" w:rsidRDefault="007E3909" w:rsidP="007E3909">
      <w:pPr>
        <w:pStyle w:val="Text"/>
        <w:numPr>
          <w:ilvl w:val="0"/>
          <w:numId w:val="18"/>
        </w:numPr>
      </w:pPr>
      <w:r>
        <w:t>Use LCD to block background light</w:t>
      </w:r>
      <w:r w:rsidR="00113FF3">
        <w:t>: B/W LCD</w:t>
      </w:r>
      <w:r>
        <w:t xml:space="preserve"> (</w:t>
      </w:r>
      <w:proofErr w:type="spellStart"/>
      <w:r>
        <w:t>Koyikawa</w:t>
      </w:r>
      <w:proofErr w:type="spellEnd"/>
      <w:r>
        <w:t xml:space="preserve"> – optical s-t display for mutual occlusion)</w:t>
      </w:r>
      <w:r w:rsidR="00113FF3">
        <w:t>, Grayscale LCD (Zhou et al. Novel Optical S-T HMD)</w:t>
      </w:r>
      <w:r w:rsidR="001C6263">
        <w:t>, spatial light modulator - SML (</w:t>
      </w:r>
      <w:proofErr w:type="spellStart"/>
      <w:r w:rsidR="001C6263">
        <w:t>Cakmakci</w:t>
      </w:r>
      <w:proofErr w:type="spellEnd"/>
      <w:r w:rsidR="001C6263">
        <w:t xml:space="preserve"> et al. a compact OST HMD)</w:t>
      </w:r>
    </w:p>
    <w:p w:rsidR="007E3909" w:rsidRDefault="007E3909" w:rsidP="007E3909">
      <w:pPr>
        <w:pStyle w:val="Text"/>
        <w:numPr>
          <w:ilvl w:val="0"/>
          <w:numId w:val="18"/>
        </w:numPr>
      </w:pPr>
      <w:r>
        <w:t>Illuminating only the parts of the real objects that will not mix with the digital content (requires dark room) [Noda el at – rangefinder</w:t>
      </w:r>
      <w:r w:rsidR="00C40173">
        <w:t xml:space="preserve">, </w:t>
      </w:r>
      <w:proofErr w:type="spellStart"/>
      <w:r w:rsidR="00C40173">
        <w:t>Bimber</w:t>
      </w:r>
      <w:proofErr w:type="spellEnd"/>
      <w:r w:rsidR="00C40173">
        <w:t xml:space="preserve"> et al.’s occlusion shadows</w:t>
      </w:r>
      <w:r>
        <w:t>]</w:t>
      </w:r>
    </w:p>
    <w:p w:rsidR="007E3909" w:rsidRDefault="007E3909" w:rsidP="007E3909">
      <w:pPr>
        <w:pStyle w:val="Text"/>
        <w:numPr>
          <w:ilvl w:val="0"/>
          <w:numId w:val="18"/>
        </w:numPr>
      </w:pPr>
      <w:r>
        <w:t>Screens behind the real objects [</w:t>
      </w:r>
      <w:proofErr w:type="spellStart"/>
      <w:r>
        <w:t>Inami</w:t>
      </w:r>
      <w:proofErr w:type="spellEnd"/>
      <w:r>
        <w:t xml:space="preserve"> – </w:t>
      </w:r>
      <w:proofErr w:type="spellStart"/>
      <w:r>
        <w:t>visio</w:t>
      </w:r>
      <w:proofErr w:type="spellEnd"/>
      <w:r>
        <w:t>-haptic display]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C83D7C"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5E82D84F" wp14:editId="5CB12AA3">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3</w:t>
                  </w:r>
                  <w:r>
                    <w:fldChar w:fldCharType="end"/>
                  </w:r>
                  <w:r>
                    <w:t>.</w:t>
                  </w:r>
                  <w:proofErr w:type="gramEnd"/>
                  <w:r>
                    <w:t xml:space="preserve">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C83D7C"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141D7BB2" wp14:editId="4A1F2624">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4</w:t>
                  </w:r>
                  <w:r>
                    <w:fldChar w:fldCharType="end"/>
                  </w:r>
                  <w:r>
                    <w:t>.</w:t>
                  </w:r>
                  <w:proofErr w:type="gramEnd"/>
                  <w:r>
                    <w:t xml:space="preserve">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C83D7C" w:rsidP="001D45EB">
      <w:pPr>
        <w:pStyle w:val="Text"/>
        <w:ind w:firstLine="0"/>
      </w:pPr>
      <w:r>
        <w:rPr>
          <w:noProof/>
        </w:rPr>
        <w:pict>
          <v:shape id="_x0000_s1043" type="#_x0000_t202" style="position:absolute;left:0;text-align:left;margin-left:1008.7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6C296D5E" wp14:editId="0C55A59D">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5</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C83D7C"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59B49F68" wp14:editId="015440DC">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6</w:t>
                  </w:r>
                  <w:r>
                    <w:fldChar w:fldCharType="end"/>
                  </w:r>
                  <w:r>
                    <w:t>.</w:t>
                  </w:r>
                  <w:proofErr w:type="gramEnd"/>
                  <w:r>
                    <w:t xml:space="preserve">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C83D7C"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0FAD2C95" wp14:editId="01941332">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6800C7">
                    <w:rPr>
                      <w:noProof/>
                    </w:rPr>
                    <w:t>7</w:t>
                  </w:r>
                  <w:r>
                    <w:fldChar w:fldCharType="end"/>
                  </w:r>
                  <w:r>
                    <w:t>.</w:t>
                  </w:r>
                  <w:proofErr w:type="gramEnd"/>
                  <w:r>
                    <w:t xml:space="preserve">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4" w:name="_Ref351547952"/>
      <w:bookmarkStart w:id="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4"/>
    </w:p>
    <w:p w:rsidR="006800C7" w:rsidRDefault="006800C7" w:rsidP="006800C7">
      <w:pPr>
        <w:pStyle w:val="Reference"/>
        <w:spacing w:after="0"/>
      </w:pPr>
      <w:bookmarkStart w:id="6" w:name="_Ref349312273"/>
      <w:bookmarkStart w:id="7"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 A. K. Peters, Ltd., Natick, MA, USA.</w:t>
      </w:r>
      <w:bookmarkEnd w:id="6"/>
      <w:bookmarkEnd w:id="7"/>
    </w:p>
    <w:p w:rsidR="006800C7" w:rsidRDefault="006800C7" w:rsidP="006800C7">
      <w:pPr>
        <w:pStyle w:val="Reference"/>
        <w:spacing w:after="0"/>
      </w:pPr>
      <w:bookmarkStart w:id="8"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 (January 2011), 341-377.</w:t>
      </w:r>
      <w:bookmarkEnd w:id="8"/>
    </w:p>
    <w:p w:rsidR="00286AC7" w:rsidRDefault="00286AC7" w:rsidP="00286AC7">
      <w:pPr>
        <w:pStyle w:val="Reference"/>
        <w:spacing w:after="0"/>
      </w:pPr>
      <w:bookmarkStart w:id="9"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bookmarkStart w:id="10" w:name="_Ref353980184"/>
      <w:bookmarkEnd w:id="9"/>
    </w:p>
    <w:p w:rsidR="00286AC7" w:rsidRDefault="00286AC7" w:rsidP="00286AC7">
      <w:pPr>
        <w:pStyle w:val="Reference"/>
        <w:spacing w:after="0"/>
      </w:pPr>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5"/>
      <w:bookmarkEnd w:id="10"/>
    </w:p>
    <w:sectPr w:rsidR="00286AC7">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D7C" w:rsidRDefault="00C83D7C" w:rsidP="008C4033">
      <w:pPr>
        <w:spacing w:after="0" w:line="240" w:lineRule="auto"/>
      </w:pPr>
      <w:r>
        <w:separator/>
      </w:r>
    </w:p>
  </w:endnote>
  <w:endnote w:type="continuationSeparator" w:id="0">
    <w:p w:rsidR="00C83D7C" w:rsidRDefault="00C83D7C"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D7C" w:rsidRDefault="00C83D7C" w:rsidP="008C4033">
      <w:pPr>
        <w:spacing w:after="0" w:line="240" w:lineRule="auto"/>
      </w:pPr>
      <w:r>
        <w:separator/>
      </w:r>
    </w:p>
  </w:footnote>
  <w:footnote w:type="continuationSeparator" w:id="0">
    <w:p w:rsidR="00C83D7C" w:rsidRDefault="00C83D7C"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61FE"/>
    <w:rsid w:val="00076429"/>
    <w:rsid w:val="00077D4B"/>
    <w:rsid w:val="000C169C"/>
    <w:rsid w:val="000C65A8"/>
    <w:rsid w:val="000C6FFD"/>
    <w:rsid w:val="000E4649"/>
    <w:rsid w:val="00113960"/>
    <w:rsid w:val="00113FF3"/>
    <w:rsid w:val="00156961"/>
    <w:rsid w:val="00166032"/>
    <w:rsid w:val="001856C9"/>
    <w:rsid w:val="001C6263"/>
    <w:rsid w:val="001D45EB"/>
    <w:rsid w:val="00233FA5"/>
    <w:rsid w:val="00236AC1"/>
    <w:rsid w:val="0024544D"/>
    <w:rsid w:val="00286AC7"/>
    <w:rsid w:val="002A1E3C"/>
    <w:rsid w:val="002C2366"/>
    <w:rsid w:val="002C591D"/>
    <w:rsid w:val="002D70D6"/>
    <w:rsid w:val="002F3B65"/>
    <w:rsid w:val="00307123"/>
    <w:rsid w:val="003303DE"/>
    <w:rsid w:val="00365A6A"/>
    <w:rsid w:val="003A7282"/>
    <w:rsid w:val="003C3C1F"/>
    <w:rsid w:val="00401269"/>
    <w:rsid w:val="00431218"/>
    <w:rsid w:val="00433DEB"/>
    <w:rsid w:val="00455910"/>
    <w:rsid w:val="00457AC4"/>
    <w:rsid w:val="00457B97"/>
    <w:rsid w:val="00463A9F"/>
    <w:rsid w:val="00466B20"/>
    <w:rsid w:val="004A365E"/>
    <w:rsid w:val="004B29FB"/>
    <w:rsid w:val="004D794E"/>
    <w:rsid w:val="004F714D"/>
    <w:rsid w:val="00517BEC"/>
    <w:rsid w:val="005241E9"/>
    <w:rsid w:val="00583E3E"/>
    <w:rsid w:val="005D2AD4"/>
    <w:rsid w:val="005D4440"/>
    <w:rsid w:val="005E0DB6"/>
    <w:rsid w:val="00615C10"/>
    <w:rsid w:val="006800C7"/>
    <w:rsid w:val="006F4BAC"/>
    <w:rsid w:val="00707303"/>
    <w:rsid w:val="00710D6B"/>
    <w:rsid w:val="007917FF"/>
    <w:rsid w:val="007A5672"/>
    <w:rsid w:val="007A7364"/>
    <w:rsid w:val="007E34B6"/>
    <w:rsid w:val="007E3909"/>
    <w:rsid w:val="00852ED1"/>
    <w:rsid w:val="008B43E9"/>
    <w:rsid w:val="008C4033"/>
    <w:rsid w:val="008D586E"/>
    <w:rsid w:val="008E5DE5"/>
    <w:rsid w:val="009557B5"/>
    <w:rsid w:val="009562EA"/>
    <w:rsid w:val="00990F6A"/>
    <w:rsid w:val="009963EC"/>
    <w:rsid w:val="009963FC"/>
    <w:rsid w:val="009B0384"/>
    <w:rsid w:val="009D437F"/>
    <w:rsid w:val="00A065FC"/>
    <w:rsid w:val="00A46A45"/>
    <w:rsid w:val="00A75EB4"/>
    <w:rsid w:val="00AD7F5F"/>
    <w:rsid w:val="00B12332"/>
    <w:rsid w:val="00B50BAD"/>
    <w:rsid w:val="00B57226"/>
    <w:rsid w:val="00B7639E"/>
    <w:rsid w:val="00B81E30"/>
    <w:rsid w:val="00B8281E"/>
    <w:rsid w:val="00B85336"/>
    <w:rsid w:val="00B85D42"/>
    <w:rsid w:val="00B864D2"/>
    <w:rsid w:val="00BD0A5A"/>
    <w:rsid w:val="00BE3299"/>
    <w:rsid w:val="00C171C7"/>
    <w:rsid w:val="00C40173"/>
    <w:rsid w:val="00C67AC2"/>
    <w:rsid w:val="00C7632A"/>
    <w:rsid w:val="00C82054"/>
    <w:rsid w:val="00C83D7C"/>
    <w:rsid w:val="00CA5321"/>
    <w:rsid w:val="00CD3102"/>
    <w:rsid w:val="00CF346E"/>
    <w:rsid w:val="00D049CA"/>
    <w:rsid w:val="00D10FF3"/>
    <w:rsid w:val="00D62904"/>
    <w:rsid w:val="00DB66E1"/>
    <w:rsid w:val="00E03787"/>
    <w:rsid w:val="00E57DEB"/>
    <w:rsid w:val="00E63311"/>
    <w:rsid w:val="00E779C2"/>
    <w:rsid w:val="00EA23A6"/>
    <w:rsid w:val="00EC04E3"/>
    <w:rsid w:val="00F53583"/>
    <w:rsid w:val="00F94468"/>
    <w:rsid w:val="00F94528"/>
    <w:rsid w:val="00FA3392"/>
    <w:rsid w:val="00FA569E"/>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615C10"/>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615C1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15C10"/>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7E0BA-6DFC-4795-95C3-B2DB32ED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4</Pages>
  <Words>2068</Words>
  <Characters>11793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13834</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37</cp:revision>
  <cp:lastPrinted>2013-04-11T22:11:00Z</cp:lastPrinted>
  <dcterms:created xsi:type="dcterms:W3CDTF">2012-02-29T15:37:00Z</dcterms:created>
  <dcterms:modified xsi:type="dcterms:W3CDTF">2013-04-20T02:24:00Z</dcterms:modified>
</cp:coreProperties>
</file>