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r w:rsidR="00CF346E">
        <w:t xml:space="preserve">in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BE0D7F" w:rsidP="00E779C2">
      <w:pPr>
        <w:pStyle w:val="Text"/>
      </w:pPr>
      <w:r>
        <w:rPr>
          <w:noProof/>
        </w:rPr>
        <w:pict>
          <v:shapetype id="_x0000_t202" coordsize="21600,21600" o:spt="202" path="m,l,21600r21600,l21600,xe">
            <v:stroke joinstyle="miter"/>
            <v:path gradientshapeok="t" o:connecttype="rect"/>
          </v:shapetype>
          <v:shape id="_x0000_s1034" type="#_x0000_t202" style="position:absolute;left:0;text-align:left;margin-left:2518.9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0" w:name="_Ref353725098"/>
                  <w:r>
                    <w:t xml:space="preserve">Figure </w:t>
                  </w:r>
                  <w:r>
                    <w:fldChar w:fldCharType="begin"/>
                  </w:r>
                  <w:r>
                    <w:instrText xml:space="preserve"> SEQ Figure \* ARABIC </w:instrText>
                  </w:r>
                  <w:r>
                    <w:fldChar w:fldCharType="separate"/>
                  </w:r>
                  <w:r w:rsidR="00CD5BE5">
                    <w:rPr>
                      <w:noProof/>
                    </w:rPr>
                    <w:t>1</w:t>
                  </w:r>
                  <w:r>
                    <w:fldChar w:fldCharType="end"/>
                  </w:r>
                  <w:bookmarkEnd w:id="0"/>
                  <w:r>
                    <w:t>. Color blending including the screen distortions for background and digital colors.</w:t>
                  </w:r>
                </w:p>
              </w:txbxContent>
            </v:textbox>
            <w10:wrap type="square" anchorx="margin" anchory="margin"/>
          </v:shape>
        </w:pic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CD5BE5">
        <w:t>[1]</w:t>
      </w:r>
      <w:r w:rsidR="006800C7">
        <w:fldChar w:fldCharType="end"/>
      </w:r>
      <w:r w:rsidR="006800C7">
        <w:fldChar w:fldCharType="begin"/>
      </w:r>
      <w:r w:rsidR="006800C7">
        <w:instrText xml:space="preserve"> REF _Ref349312273 \r \h </w:instrText>
      </w:r>
      <w:r w:rsidR="006800C7">
        <w:fldChar w:fldCharType="separate"/>
      </w:r>
      <w:r w:rsidR="00CD5BE5">
        <w:t>[3]</w:t>
      </w:r>
      <w:r w:rsidR="006800C7">
        <w:fldChar w:fldCharType="end"/>
      </w:r>
      <w:r w:rsidR="006800C7">
        <w:fldChar w:fldCharType="begin"/>
      </w:r>
      <w:r w:rsidR="006800C7">
        <w:instrText xml:space="preserve"> REF _Ref351547954 \r \h </w:instrText>
      </w:r>
      <w:r w:rsidR="006800C7">
        <w:fldChar w:fldCharType="separate"/>
      </w:r>
      <w:r w:rsidR="00CD5BE5">
        <w:t>[5]</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CD5BE5">
        <w:t>[6]</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Eyevis</w:t>
      </w:r>
      <w:r w:rsidR="00E779C2">
        <w:t xml:space="preserve"> [</w:t>
      </w:r>
      <w:hyperlink r:id="rId12" w:history="1">
        <w:r w:rsidR="00E779C2" w:rsidRPr="00E779C2">
          <w:rPr>
            <w:rStyle w:val="Hyperlink"/>
          </w:rPr>
          <w:t>link</w:t>
        </w:r>
      </w:hyperlink>
      <w:r w:rsidR="00E779C2">
        <w:t xml:space="preserve">], </w:t>
      </w:r>
      <w:r w:rsidR="00156961">
        <w:t>RichTech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Winstar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BE0D7F"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935D62" w:rsidRPr="00DB66E1" w:rsidRDefault="00935D62"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CD5BE5">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PROBLEMS WITH THIS APPROACH.</w:t>
      </w:r>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CD5BE5">
        <w:t xml:space="preserve">Figure </w:t>
      </w:r>
      <w:r w:rsidR="00CD5BE5">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BE0D7F" w:rsidP="000E4649">
      <w:pPr>
        <w:pStyle w:val="Text"/>
      </w:pPr>
      <w:r>
        <w:rPr>
          <w:noProof/>
        </w:rPr>
        <w:pict>
          <v:shape id="_x0000_s1040" type="#_x0000_t202" style="position:absolute;left:0;text-align:left;margin-left:393.3pt;margin-top:0;width:247.85pt;height:142.95pt;z-index:251672576;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1" w:name="_Ref354163262"/>
                  <w:bookmarkStart w:id="2" w:name="_Ref354163266"/>
                  <w:r>
                    <w:t xml:space="preserve">Figure </w:t>
                  </w:r>
                  <w:r>
                    <w:fldChar w:fldCharType="begin"/>
                  </w:r>
                  <w:r>
                    <w:instrText xml:space="preserve"> SEQ Figure \* ARABIC </w:instrText>
                  </w:r>
                  <w:r>
                    <w:fldChar w:fldCharType="separate"/>
                  </w:r>
                  <w:r w:rsidR="00CD5BE5">
                    <w:rPr>
                      <w:noProof/>
                    </w:rPr>
                    <w:t>2</w:t>
                  </w:r>
                  <w:r>
                    <w:fldChar w:fldCharType="end"/>
                  </w:r>
                  <w:bookmarkEnd w:id="2"/>
                  <w:r>
                    <w:t>. Examples of color blending</w:t>
                  </w:r>
                  <w:bookmarkEnd w:id="1"/>
                </w:p>
              </w:txbxContent>
            </v:textbox>
            <w10:wrap type="square" anchorx="margin" anchory="margin"/>
          </v:shape>
        </w:pic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[Pingel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r>
        <w:t xml:space="preserve">Gabbard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5BE5">
        <w:t>[6]</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CD5BE5">
        <w:t xml:space="preserve">Figure </w:t>
      </w:r>
      <w:r w:rsidR="00CD5BE5">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-right shows the foliage color as seen through different screens. Figure 1 illustrates this distortion as the difference in hues between the “bg color” and the “bg in display” color.</w:t>
      </w:r>
      <w:r w:rsidR="00113960">
        <w:t xml:space="preserve"> In our formulation we simplify the light and reflectance of the background (the R</w:t>
      </w:r>
      <w:r w:rsidR="00DE6D4B">
        <w:t>F(L1,B)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Key to our understanding of color blending is the characteri</w:t>
      </w:r>
      <w:r w:rsidR="00DE6D4B">
        <w:t>-</w:t>
      </w:r>
      <w:r>
        <w:t>zation of the f</w:t>
      </w:r>
      <w:r w:rsidRPr="0024544D">
        <w:rPr>
          <w:vertAlign w:val="subscript"/>
        </w:rPr>
        <w:t>dDC</w:t>
      </w:r>
      <w:r>
        <w:t xml:space="preserve"> and f</w:t>
      </w:r>
      <w:r w:rsidRPr="0024544D">
        <w:rPr>
          <w:vertAlign w:val="subscript"/>
        </w:rPr>
        <w:t>dBC</w:t>
      </w:r>
      <w:r>
        <w:t xml:space="preserve"> functions. The f</w:t>
      </w:r>
      <w:r w:rsidRPr="0024544D">
        <w:rPr>
          <w:vertAlign w:val="subscript"/>
        </w:rPr>
        <w:t>dDC</w:t>
      </w:r>
      <w:r>
        <w:t xml:space="preserve"> function</w:t>
      </w:r>
      <w:r w:rsidR="00DE6D4B">
        <w:t xml:space="preserve"> </w:t>
      </w:r>
      <w:r>
        <w:t>describes the way a particular display shows a given digital color. The f</w:t>
      </w:r>
      <w:r w:rsidRPr="0024544D">
        <w:rPr>
          <w:vertAlign w:val="subscript"/>
        </w:rPr>
        <w:t>dBC</w:t>
      </w:r>
      <w:r>
        <w:rPr>
          <w:vertAlign w:val="subscript"/>
        </w:rPr>
        <w:t xml:space="preserve"> </w:t>
      </w:r>
      <w:r>
        <w:t xml:space="preserve">function describes the way a background color is altered by the display medium. </w:t>
      </w:r>
    </w:p>
    <w:p w:rsidR="00D63874" w:rsidRPr="0024544D" w:rsidRDefault="00BE0D7F" w:rsidP="0024544D">
      <w:pPr>
        <w:pStyle w:val="Text"/>
      </w:pPr>
      <w:r>
        <w:rPr>
          <w:noProof/>
        </w:rPr>
        <w:pict>
          <v:shape id="_x0000_s1032" type="#_x0000_t202" style="position:absolute;left:0;text-align:left;margin-left:656.55pt;margin-top:0;width:247.6pt;height:165.75pt;z-index:251664384;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3" w:name="_Ref354244786"/>
                  <w:r>
                    <w:t xml:space="preserve">Figure </w:t>
                  </w:r>
                  <w:r>
                    <w:fldChar w:fldCharType="begin"/>
                  </w:r>
                  <w:r>
                    <w:instrText xml:space="preserve"> SEQ Figure \* ARABIC </w:instrText>
                  </w:r>
                  <w:r>
                    <w:fldChar w:fldCharType="separate"/>
                  </w:r>
                  <w:r w:rsidR="00CD5BE5">
                    <w:rPr>
                      <w:noProof/>
                    </w:rPr>
                    <w:t>3</w:t>
                  </w:r>
                  <w:r>
                    <w:fldChar w:fldCharType="end"/>
                  </w:r>
                  <w:bookmarkEnd w:id="3"/>
                  <w:r>
                    <w:t xml:space="preserve">. Left: The digital color #FF0000 and as displayed by different optical see-through displays. Right: The </w:t>
                  </w:r>
                  <w:r w:rsidR="00C91E6E">
                    <w:t>folieage</w:t>
                  </w:r>
                  <w:r>
                    <w:t xml:space="preserve"> color, and as it is seen through different optical see-through displays.</w:t>
                  </w:r>
                </w:p>
              </w:txbxContent>
            </v:textbox>
            <w10:wrap type="square" anchorx="margin" anchory="margin"/>
          </v:shape>
        </w:pic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r w:rsidR="009E0333" w:rsidRPr="009E0333">
        <w:rPr>
          <w:i/>
        </w:rPr>
        <w:t>Commision Internationale de l’</w:t>
      </w:r>
      <w:r w:rsidR="009E0333">
        <w:rPr>
          <w:rFonts w:ascii="Cambria" w:hAnsi="Cambria"/>
          <w:i/>
        </w:rPr>
        <w:t>É</w:t>
      </w:r>
      <w:r w:rsidR="009E0333" w:rsidRPr="009E0333">
        <w:rPr>
          <w:i/>
        </w:rPr>
        <w:t>clairage</w:t>
      </w:r>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CD5BE5" w:rsidP="00FF3F57">
      <w:pPr>
        <w:pStyle w:val="Heading1"/>
      </w:pPr>
      <w:r>
        <w:rPr>
          <w:noProof/>
        </w:rPr>
        <w:lastRenderedPageBreak/>
        <w:pict>
          <v:shape id="_x0000_s1046" type="#_x0000_t202" style="position:absolute;left:0;text-align:left;margin-left:188.05pt;margin-top:0;width:239.05pt;height:234pt;z-index:251678720;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stroked="f">
            <v:textbox style="mso-next-textbox:#_x0000_s1046">
              <w:txbxContent>
                <w:p w:rsidR="00CD5BE5" w:rsidRDefault="00CD5BE5" w:rsidP="00CD5BE5">
                  <w:pPr>
                    <w:keepNext/>
                    <w:jc w:val="center"/>
                  </w:pPr>
                  <w:r>
                    <w:rPr>
                      <w:noProof/>
                      <w:lang w:eastAsia="en-CA"/>
                    </w:rPr>
                    <w:drawing>
                      <wp:inline distT="0" distB="0" distL="0" distR="0" wp14:anchorId="7C460896" wp14:editId="25C4646B">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4" w:name="_Ref354255494"/>
                  <w:r>
                    <w:t xml:space="preserve">Figure </w:t>
                  </w:r>
                  <w:r>
                    <w:fldChar w:fldCharType="begin"/>
                  </w:r>
                  <w:r>
                    <w:instrText xml:space="preserve"> SEQ Figure \* ARABIC </w:instrText>
                  </w:r>
                  <w:r>
                    <w:fldChar w:fldCharType="separate"/>
                  </w:r>
                  <w:r>
                    <w:rPr>
                      <w:noProof/>
                    </w:rPr>
                    <w:t>4</w:t>
                  </w:r>
                  <w:r>
                    <w:fldChar w:fldCharType="end"/>
                  </w:r>
                  <w:bookmarkEnd w:id="4"/>
                  <w:r>
                    <w:t>. Experimental test-bed</w:t>
                  </w:r>
                </w:p>
                <w:p w:rsidR="00CD5BE5" w:rsidRDefault="00CD5BE5" w:rsidP="00CD5BE5">
                  <w:pPr>
                    <w:jc w:val="center"/>
                  </w:pPr>
                </w:p>
              </w:txbxContent>
            </v:textbox>
            <w10:wrap type="topAndBottom" anchorx="margin" anchory="margin"/>
          </v:shape>
        </w:pic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CD5BE5">
        <w:t>[13]</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CD5BE5">
        <w:t>[9]</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CD5BE5">
        <w:t>[11]</w:t>
      </w:r>
      <w:r w:rsidR="00DA36A7">
        <w:fldChar w:fldCharType="end"/>
      </w:r>
      <w:r w:rsidR="002D00C4">
        <w:t>)</w:t>
      </w:r>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CD5BE5">
        <w:t>[9]</w:t>
      </w:r>
      <w:r w:rsidR="00DA36A7">
        <w:fldChar w:fldCharType="end"/>
      </w:r>
      <w:r w:rsidR="00DA36A7">
        <w:t>.</w:t>
      </w:r>
      <w:r w:rsidR="00FE1506">
        <w:t xml:space="preserve"> Leykin and </w:t>
      </w:r>
      <w:r w:rsidR="00FE1506" w:rsidRPr="00FE1506">
        <w:t>Tuceryan</w:t>
      </w:r>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CD5BE5">
        <w:t>[14]</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CD5BE5">
        <w:t>[17]</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CD5BE5">
        <w:t>[4]</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CD5BE5">
        <w:t>[16]</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CD5BE5">
        <w:t>[10]</w:t>
      </w:r>
      <w:r w:rsidR="002D00C4">
        <w:fldChar w:fldCharType="end"/>
      </w:r>
      <w:r w:rsidR="002D00C4">
        <w:fldChar w:fldCharType="begin"/>
      </w:r>
      <w:r w:rsidR="002D00C4">
        <w:instrText xml:space="preserve"> REF _Ref354241509 \r \h </w:instrText>
      </w:r>
      <w:r w:rsidR="002D00C4">
        <w:fldChar w:fldCharType="separate"/>
      </w:r>
      <w:r w:rsidR="00CD5BE5">
        <w:t>[12]</w:t>
      </w:r>
      <w:r w:rsidR="002D00C4">
        <w:fldChar w:fldCharType="end"/>
      </w:r>
      <w:r w:rsidR="002D00C4">
        <w:fldChar w:fldCharType="begin"/>
      </w:r>
      <w:r w:rsidR="002D00C4">
        <w:instrText xml:space="preserve"> REF _Ref354241514 \r \h </w:instrText>
      </w:r>
      <w:r w:rsidR="002D00C4">
        <w:fldChar w:fldCharType="separate"/>
      </w:r>
      <w:r w:rsidR="00CD5BE5">
        <w:t>[18]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CD5BE5">
        <w:t>[4]</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CD5BE5">
        <w:t>[15]</w:t>
      </w:r>
      <w:r w:rsidR="0037587D">
        <w:fldChar w:fldCharType="end"/>
      </w:r>
      <w:r w:rsidR="00AC1C87">
        <w:t xml:space="preserve">, while Bimber and Frölich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CD5BE5">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r w:rsidR="00670D1A" w:rsidRPr="00670D1A">
        <w:t>Inami</w:t>
      </w:r>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CD5BE5">
        <w:t>[8]</w:t>
      </w:r>
      <w:r w:rsidR="00670D1A">
        <w:fldChar w:fldCharType="end"/>
      </w:r>
      <w:r w:rsidR="00670D1A">
        <w:t>.</w:t>
      </w:r>
    </w:p>
    <w:p w:rsidR="00C56AC6" w:rsidRDefault="00C56AC6" w:rsidP="00C56AC6">
      <w:pPr>
        <w:pStyle w:val="Text"/>
      </w:pPr>
      <w:r>
        <w:t>Our approach differs from the existing solutions</w:t>
      </w:r>
      <w:r>
        <w:t xml:space="preserve"> </w:t>
      </w:r>
      <w:r w:rsidR="00EC7033">
        <w:t xml:space="preserve">as we aim </w:t>
      </w:r>
      <w:r w:rsidR="00EC7033">
        <w:t xml:space="preserve">not </w:t>
      </w:r>
      <w:r w:rsidR="00EC7033">
        <w:t xml:space="preserve">to </w:t>
      </w:r>
      <w:r w:rsidR="00EC7033">
        <w:t xml:space="preserve">change the location of user interface elements and not </w:t>
      </w:r>
      <w:r w:rsidR="00EC7033">
        <w:t xml:space="preserve">to </w:t>
      </w:r>
      <w:r w:rsidR="00EC7033">
        <w:t>add new hardware components to the see-through display</w:t>
      </w:r>
      <w:r w:rsidR="00EC7033">
        <w:t xml:space="preserve">;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DC5A7F" w:rsidRDefault="00B12332" w:rsidP="00C56AC6">
      <w:pPr>
        <w:pStyle w:val="Text"/>
      </w:pPr>
      <w:r w:rsidRPr="00DC5A7F">
        <w:rPr>
          <w:highlight w:val="yellow"/>
        </w:rPr>
        <w:t>Colorimetric compensation in projector-based see-through displays.</w:t>
      </w:r>
      <w:r w:rsidR="00DC5A7F" w:rsidRPr="00DC5A7F">
        <w:rPr>
          <w:highlight w:val="yellow"/>
        </w:rPr>
        <w:t xml:space="preserve"> </w:t>
      </w:r>
      <w:r w:rsidRPr="00DC5A7F">
        <w:rPr>
          <w:highlight w:val="yellow"/>
        </w:rPr>
        <w:t>Color correction in projector-based spatial augmented reality</w:t>
      </w:r>
      <w:r w:rsidR="00DC5A7F" w:rsidRPr="00DC5A7F">
        <w:rPr>
          <w:highlight w:val="yellow"/>
        </w:rPr>
        <w:t>.</w:t>
      </w:r>
      <w:r w:rsidR="00C56AC6">
        <w:t xml:space="preserve"> Our approach differs </w:t>
      </w:r>
      <w:r w:rsidR="00EC7033">
        <w:t xml:space="preserve">from other </w:t>
      </w:r>
      <w:r w:rsidR="00EC7033">
        <w:t xml:space="preserve">approaches </w:t>
      </w:r>
      <w:r w:rsidR="00EC7033">
        <w:t>to color correction because…</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 xml:space="preserve">blending </w:t>
      </w:r>
      <w:r>
        <w:t>(</w:t>
      </w:r>
      <w:r>
        <w:fldChar w:fldCharType="begin"/>
      </w:r>
      <w:r>
        <w:instrText xml:space="preserve"> REF _Ref354255494 \h </w:instrText>
      </w:r>
      <w:r>
        <w:fldChar w:fldCharType="separate"/>
      </w:r>
      <w:r>
        <w:t xml:space="preserve">Figure </w:t>
      </w:r>
      <w:r>
        <w:rPr>
          <w:noProof/>
        </w:rPr>
        <w:t>4</w:t>
      </w:r>
      <w:r>
        <w:fldChar w:fldCharType="end"/>
      </w:r>
      <w:r>
        <w:t xml:space="preserve">). </w:t>
      </w:r>
    </w:p>
    <w:p w:rsidR="004F23BB" w:rsidRDefault="004F23BB" w:rsidP="004F23BB">
      <w:pPr>
        <w:pStyle w:val="Text"/>
      </w:pPr>
      <w:r>
        <w:t>To generate different backgrounds we chose an XXXX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t>[6]</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t xml:space="preserve">Figure </w:t>
      </w:r>
      <w:r>
        <w:rPr>
          <w:noProof/>
        </w:rPr>
        <w:t>5</w:t>
      </w:r>
      <w:r>
        <w:fldChar w:fldCharType="end"/>
      </w:r>
      <w:r>
        <w:t xml:space="preserve"> shows the </w:t>
      </w:r>
      <w:r w:rsidR="00162AD8">
        <w:t>difference between the theoretical background colors and the ones produced and captured in our test-bed.</w:t>
      </w:r>
    </w:p>
    <w:p w:rsidR="00162AD8" w:rsidRDefault="000A669F" w:rsidP="004F23BB">
      <w:pPr>
        <w:pStyle w:val="Text"/>
      </w:pPr>
      <w:r>
        <w:rPr>
          <w:noProof/>
        </w:rPr>
        <w:pict>
          <v:shape id="_x0000_s1036" type="#_x0000_t202" style="position:absolute;left:0;text-align:left;margin-left:461.85pt;margin-top:0;width:248.1pt;height:199.7pt;z-index:251668480;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fit-shape-to-text:t">
              <w:txbxContent>
                <w:p w:rsidR="00935D62" w:rsidRDefault="00935D62" w:rsidP="00CD5BE5">
                  <w:pPr>
                    <w:keepNext/>
                    <w:jc w:val="center"/>
                  </w:pPr>
                  <w:r>
                    <w:rPr>
                      <w:noProof/>
                      <w:lang w:eastAsia="en-CA"/>
                    </w:rPr>
                    <w:drawing>
                      <wp:inline distT="0" distB="0" distL="0" distR="0" wp14:anchorId="13EF4D60" wp14:editId="5E7813B2">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0">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5" w:name="_Ref354256421"/>
                  <w:bookmarkStart w:id="6" w:name="_Ref354256425"/>
                  <w:r>
                    <w:t xml:space="preserve">Figure </w:t>
                  </w:r>
                  <w:r>
                    <w:fldChar w:fldCharType="begin"/>
                  </w:r>
                  <w:r>
                    <w:instrText xml:space="preserve"> SEQ Figure \* ARABIC </w:instrText>
                  </w:r>
                  <w:r>
                    <w:fldChar w:fldCharType="separate"/>
                  </w:r>
                  <w:r w:rsidR="00CD5BE5">
                    <w:rPr>
                      <w:noProof/>
                    </w:rPr>
                    <w:t>5</w:t>
                  </w:r>
                  <w:r>
                    <w:fldChar w:fldCharType="end"/>
                  </w:r>
                  <w:bookmarkEnd w:id="6"/>
                  <w:r>
                    <w:t>. Background color set in the experimental set-up.</w:t>
                  </w:r>
                  <w:bookmarkEnd w:id="5"/>
                </w:p>
              </w:txbxContent>
            </v:textbox>
            <w10:wrap type="square" anchorx="margin" anchory="margin"/>
          </v:shape>
        </w:pict>
      </w:r>
      <w:r w:rsidR="00162AD8">
        <w:t xml:space="preserve">Our test-bed works with three see-through displays: two projector-based and one transparent OLED. The projector-based displays use </w:t>
      </w:r>
      <w:r w:rsidR="00046785">
        <w:t xml:space="preserve">XXX mm thick </w:t>
      </w:r>
      <w:r w:rsidR="00A40349">
        <w:t xml:space="preserve">transparent acrylic surface covered with </w:t>
      </w:r>
      <w:r w:rsidR="00162AD8">
        <w:t>a Lumisty</w:t>
      </w:r>
      <w:r w:rsidR="00A40349">
        <w:t xml:space="preserve"> MFY 2555 </w:t>
      </w:r>
      <w:r w:rsidR="00162AD8">
        <w:t>film</w:t>
      </w:r>
      <w:r w:rsidR="00A40349">
        <w:t xml:space="preserve"> (</w:t>
      </w:r>
      <w:hyperlink r:id="rId21" w:history="1">
        <w:r w:rsidR="00A40349">
          <w:rPr>
            <w:rStyle w:val="Hyperlink"/>
          </w:rPr>
          <w:t>http://www.lumistyfilm.com</w:t>
        </w:r>
      </w:hyperlink>
      <w:r w:rsidR="00A40349">
        <w:t>)</w:t>
      </w:r>
      <w:r w:rsidR="00162AD8">
        <w:t xml:space="preserve"> </w:t>
      </w:r>
      <w:r w:rsidR="00A40349">
        <w:t xml:space="preserve">and one of </w:t>
      </w:r>
      <w:r w:rsidR="00162AD8">
        <w:t>two projector</w:t>
      </w:r>
      <w:r w:rsidR="00A40349">
        <w:t>s</w:t>
      </w:r>
      <w:r w:rsidR="00162AD8">
        <w:t xml:space="preserve"> at </w:t>
      </w:r>
      <w:r w:rsidR="00A40349">
        <w:t xml:space="preserve">40 degrees. </w:t>
      </w:r>
      <w:r w:rsidR="00162AD8">
        <w:t>The first projector is a</w:t>
      </w:r>
      <w:r w:rsidR="00A40349">
        <w:t>n Epson 1705 at 2200 lumens,</w:t>
      </w:r>
      <w:r w:rsidR="00162AD8">
        <w:t xml:space="preserve"> hereafter called the </w:t>
      </w:r>
      <w:r w:rsidR="00A40349">
        <w:t>p2200 display</w:t>
      </w:r>
      <w:r w:rsidR="00162AD8">
        <w:t>. The second projector is a</w:t>
      </w:r>
      <w:r w:rsidR="00A40349">
        <w:t>n</w:t>
      </w:r>
      <w:r w:rsidR="00162AD8">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40349">
        <w:t>[7]</w:t>
      </w:r>
      <w:r w:rsidR="00A40349">
        <w:fldChar w:fldCharType="end"/>
      </w:r>
      <w:r w:rsidR="00A40349">
        <w:t xml:space="preserve"> which has a 240x320 transparent OLED display at 167 ppi.</w:t>
      </w:r>
      <w:r w:rsidR="00046785">
        <w:t xml:space="preserve"> The phone display is covered in acrylic and with a total XXX mm thickness.</w:t>
      </w:r>
      <w:r w:rsidR="00A40349">
        <w:t xml:space="preserve"> The test-bed has a holder for the displays at YYY cms in front of the background LCD</w:t>
      </w:r>
      <w:r w:rsidR="002976DA">
        <w:t xml:space="preserve">. </w:t>
      </w:r>
    </w:p>
    <w:p w:rsidR="002976DA" w:rsidRDefault="002976DA" w:rsidP="004F23BB">
      <w:pPr>
        <w:pStyle w:val="Text"/>
      </w:pPr>
      <w:r>
        <w:t xml:space="preserve">To collect data </w:t>
      </w:r>
      <w:r w:rsidR="000A669F">
        <w:t xml:space="preserve">we used a Konica Minolta CS-200 luminance and color meter at a 0.2 degrees angle (standard observer angle). The colorimeter sits at XXX cms from the see-through </w:t>
      </w:r>
      <w:r w:rsidR="00046785">
        <w:t>display holder. All displays and colorimeter are connected to the same controlling computer and are kept from any outside light by an enclosure</w:t>
      </w:r>
      <w:r w:rsidR="00C55AB8">
        <w:t xml:space="preserve"> </w:t>
      </w:r>
      <w:r w:rsidR="00C55AB8">
        <w:lastRenderedPageBreak/>
        <w:t xml:space="preserve">(represented in </w:t>
      </w:r>
      <w:r w:rsidR="00C55AB8">
        <w:fldChar w:fldCharType="begin"/>
      </w:r>
      <w:r w:rsidR="00C55AB8">
        <w:instrText xml:space="preserve"> REF _Ref354255494 \h </w:instrText>
      </w:r>
      <w:r w:rsidR="00C55AB8">
        <w:fldChar w:fldCharType="separate"/>
      </w:r>
      <w:r w:rsidR="00C55AB8">
        <w:t xml:space="preserve">Figure </w:t>
      </w:r>
      <w:r w:rsidR="00C55AB8">
        <w:rPr>
          <w:noProof/>
        </w:rPr>
        <w:t>4</w:t>
      </w:r>
      <w:r w:rsidR="00C55AB8">
        <w:fldChar w:fldCharType="end"/>
      </w:r>
      <w:r w:rsidR="00C55AB8">
        <w:t xml:space="preserve"> as the dark cave)</w:t>
      </w:r>
      <w:r w:rsidR="00046785">
        <w:t xml:space="preserve">. </w:t>
      </w:r>
    </w:p>
    <w:p w:rsidR="00FF3F57" w:rsidRDefault="00FF3F57" w:rsidP="00FF3F57">
      <w:pPr>
        <w:pStyle w:val="Heading1"/>
      </w:pPr>
      <w:r>
        <w:t>Color Prediction</w:t>
      </w:r>
    </w:p>
    <w:p w:rsidR="007F2031"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to unveil </w:t>
      </w:r>
      <w:r w:rsidR="00D323DB">
        <w:t>the f</w:t>
      </w:r>
      <w:r w:rsidR="00D323DB" w:rsidRPr="0024544D">
        <w:rPr>
          <w:vertAlign w:val="subscript"/>
        </w:rPr>
        <w:t>dDC</w:t>
      </w:r>
      <w:r w:rsidR="00D323DB">
        <w:t xml:space="preserve"> and f</w:t>
      </w:r>
      <w:r w:rsidR="00D323DB" w:rsidRPr="0024544D">
        <w:rPr>
          <w:vertAlign w:val="subscript"/>
        </w:rPr>
        <w:t>dBC</w:t>
      </w:r>
      <w:r w:rsidR="00D323DB">
        <w:t xml:space="preserve"> </w:t>
      </w:r>
      <w:r w:rsidR="00D323DB">
        <w:t xml:space="preserve">distortion </w:t>
      </w:r>
      <w:r w:rsidR="00D323DB">
        <w:t>functions</w:t>
      </w:r>
      <w:r w:rsidR="00D323DB">
        <w:t xml:space="preserve"> of equation 2. This section investigates the first factor through five different display rendering models: direct model, three </w:t>
      </w:r>
      <w:bookmarkStart w:id="7" w:name="_GoBack"/>
      <w:bookmarkEnd w:id="7"/>
    </w:p>
    <w:p w:rsidR="007F2031" w:rsidRDefault="007F2031" w:rsidP="00710D6B">
      <w:pPr>
        <w:pStyle w:val="Text"/>
        <w:ind w:firstLine="0"/>
      </w:pPr>
    </w:p>
    <w:p w:rsidR="002C2366" w:rsidRDefault="000E4649" w:rsidP="00710D6B">
      <w:pPr>
        <w:pStyle w:val="Text"/>
        <w:ind w:firstLine="0"/>
      </w:pPr>
      <w:r>
        <w:t>Direct Model</w:t>
      </w:r>
      <w:r w:rsidR="00710D6B">
        <w:t xml:space="preserve"> (show the binned-color space)</w:t>
      </w:r>
    </w:p>
    <w:p w:rsidR="000E4649" w:rsidRDefault="000E4649" w:rsidP="00710D6B">
      <w:pPr>
        <w:pStyle w:val="Text"/>
        <w:ind w:firstLine="0"/>
      </w:pPr>
    </w:p>
    <w:p w:rsidR="000E4649" w:rsidRDefault="000E4649" w:rsidP="000E4649">
      <w:pPr>
        <w:pStyle w:val="Text"/>
      </w:pPr>
      <w:r>
        <w:t xml:space="preserve">However, the colors involved in the blending differ from the “pure” ones assumed by </w:t>
      </w:r>
      <w:r w:rsidR="00710D6B">
        <w:t>the direct model. Figure 3</w:t>
      </w:r>
      <w:r>
        <w:t xml:space="preserve">-left shows </w:t>
      </w:r>
    </w:p>
    <w:p w:rsidR="002F3B65" w:rsidRDefault="002F3B65" w:rsidP="000E4649">
      <w:pPr>
        <w:pStyle w:val="Text"/>
      </w:pPr>
    </w:p>
    <w:p w:rsidR="002F3B65" w:rsidRDefault="002F3B65" w:rsidP="000E4649">
      <w:pPr>
        <w:pStyle w:val="Text"/>
      </w:pPr>
      <w:r>
        <w:t xml:space="preserve">Show the new conception of color blending as presented in figure 4. </w:t>
      </w:r>
    </w:p>
    <w:p w:rsidR="00710D6B" w:rsidRDefault="00710D6B" w:rsidP="000E4649">
      <w:pPr>
        <w:pStyle w:val="Text"/>
      </w:pPr>
    </w:p>
    <w:p w:rsidR="002F3B65" w:rsidRDefault="002F3B65" w:rsidP="000E4649">
      <w:pPr>
        <w:pStyle w:val="Text"/>
      </w:pPr>
      <w:r>
        <w:t>Say that to investigate this effect we took two approaches: cat and binned profile.</w:t>
      </w:r>
    </w:p>
    <w:p w:rsidR="000E4649" w:rsidRDefault="000E4649" w:rsidP="000E4649">
      <w:pPr>
        <w:pStyle w:val="Text"/>
      </w:pPr>
      <w:r>
        <w:t xml:space="preserve">CAT </w:t>
      </w:r>
      <w:r w:rsidR="00710D6B">
        <w:t>(show image with the three cats for each display 3x3)</w:t>
      </w:r>
    </w:p>
    <w:p w:rsidR="00710D6B" w:rsidRDefault="00710D6B" w:rsidP="000E4649">
      <w:pPr>
        <w:pStyle w:val="Text"/>
      </w:pPr>
    </w:p>
    <w:p w:rsidR="002F3B65" w:rsidRDefault="00710D6B" w:rsidP="002F3B65">
      <w:pPr>
        <w:pStyle w:val="Text"/>
      </w:pPr>
      <w:r>
        <w:t xml:space="preserve">Binned-profile (show image with the binned-profile of each display), say that we are interested in this given the high variation of the CAT profiles. </w:t>
      </w:r>
      <w:r w:rsidR="002F3B65">
        <w:t xml:space="preserve">Tell hw we built each profile. </w:t>
      </w:r>
      <w:r>
        <w:t>Say that a limitation of this approach is the memory overhead (bytes per color pair).</w:t>
      </w:r>
    </w:p>
    <w:p w:rsidR="002F3B65" w:rsidRDefault="002F3B65" w:rsidP="002F3B65">
      <w:pPr>
        <w:pStyle w:val="Heading2"/>
      </w:pPr>
      <w:r>
        <w:t>Data Collection</w:t>
      </w:r>
    </w:p>
    <w:p w:rsidR="002F3B65" w:rsidRDefault="002F3B65" w:rsidP="002F3B65">
      <w:pPr>
        <w:pStyle w:val="Text"/>
      </w:pPr>
      <w:r>
        <w:t>Describe how we collected data for each display</w:t>
      </w:r>
    </w:p>
    <w:p w:rsidR="002F3B65" w:rsidRDefault="002F3B65" w:rsidP="001D45EB">
      <w:pPr>
        <w:pStyle w:val="Text"/>
        <w:ind w:firstLine="0"/>
      </w:pPr>
    </w:p>
    <w:p w:rsidR="002F3B65" w:rsidRPr="00E63311" w:rsidRDefault="002F3B65" w:rsidP="00CD5BE5">
      <w:pPr>
        <w:pStyle w:val="Text"/>
      </w:pPr>
      <w:r>
        <w:t>Describe how we computed the blending prediction for each model.</w:t>
      </w:r>
    </w:p>
    <w:p w:rsidR="002F3B65" w:rsidRPr="002F3B65" w:rsidRDefault="007F2031" w:rsidP="002F3B65">
      <w:pPr>
        <w:pStyle w:val="Heading2"/>
      </w:pPr>
      <w:r>
        <w:rPr>
          <w:noProof/>
        </w:rPr>
        <w:pict>
          <v:shape id="_x0000_s1041" type="#_x0000_t202" style="position:absolute;left:0;text-align:left;margin-left:459.8pt;margin-top:0;width:246.4pt;height:158.15pt;z-index:251674624;visibility:visible;mso-height-percent:200;mso-wrap-distance-left:9pt;mso-wrap-distance-top:0;mso-wrap-distance-right:9pt;mso-wrap-distance-bottom:0;mso-position-horizontal:righ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935D62" w:rsidRDefault="00935D62" w:rsidP="00BE3299">
                  <w:pPr>
                    <w:keepNext/>
                  </w:pPr>
                  <w:r>
                    <w:rPr>
                      <w:noProof/>
                      <w:lang w:eastAsia="en-CA"/>
                    </w:rPr>
                    <w:drawing>
                      <wp:inline distT="0" distB="0" distL="0" distR="0" wp14:anchorId="51F8D4A2" wp14:editId="52023BB1">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2">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r>
                    <w:t xml:space="preserve">Figure </w:t>
                  </w:r>
                  <w:r>
                    <w:fldChar w:fldCharType="begin"/>
                  </w:r>
                  <w:r>
                    <w:instrText xml:space="preserve"> SEQ Figure \* ARABIC </w:instrText>
                  </w:r>
                  <w:r>
                    <w:fldChar w:fldCharType="separate"/>
                  </w:r>
                  <w:r w:rsidR="00CD5BE5">
                    <w:rPr>
                      <w:noProof/>
                    </w:rPr>
                    <w:t>8</w:t>
                  </w:r>
                  <w:r>
                    <w:fldChar w:fldCharType="end"/>
                  </w:r>
                  <w:r>
                    <w:t>. Single prediction result</w:t>
                  </w:r>
                </w:p>
              </w:txbxContent>
            </v:textbox>
            <w10:wrap type="square" anchorx="margin" anchory="margin"/>
          </v:shape>
        </w:pict>
      </w:r>
      <w:r w:rsidR="002F3B65">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FF3F57" w:rsidRDefault="00FF3F57" w:rsidP="00FF3F57">
      <w:pPr>
        <w:pStyle w:val="Heading1"/>
      </w:pPr>
      <w:r>
        <w:t xml:space="preserve">Color </w:t>
      </w:r>
      <w:r w:rsidR="00EC04E3">
        <w:t>Preservation</w:t>
      </w:r>
    </w:p>
    <w:p w:rsidR="00707303" w:rsidRPr="002C2366" w:rsidRDefault="000C65A8" w:rsidP="00CD5BE5">
      <w:pPr>
        <w:pStyle w:val="Text"/>
      </w:pPr>
      <w:r>
        <w:t>Correctable range (by bg color)</w:t>
      </w:r>
    </w:p>
    <w:p w:rsidR="00FF3F57" w:rsidRDefault="00CD5BE5" w:rsidP="00FF3F57">
      <w:pPr>
        <w:pStyle w:val="Heading1"/>
      </w:pPr>
      <w:r>
        <w:rPr>
          <w:noProof/>
        </w:rPr>
        <w:pict>
          <v:shape id="_x0000_s1043" type="#_x0000_t202" style="position:absolute;left:0;text-align:left;margin-left:189.9pt;margin-top:0;width:241.1pt;height:77.1pt;z-index:251676672;visibility:visible;mso-wrap-distance-left:9pt;mso-wrap-distance-top:0;mso-wrap-distance-right:9pt;mso-wrap-distance-bottom:0;mso-position-horizontal:right;mso-position-horizontal-relative:margin;mso-position-vertical:center;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next-textbox:#_x0000_s1043">
              <w:txbxContent>
                <w:p w:rsidR="00935D62" w:rsidRDefault="00935D62" w:rsidP="001D45EB">
                  <w:pPr>
                    <w:keepNext/>
                  </w:pPr>
                  <w:r>
                    <w:rPr>
                      <w:noProof/>
                      <w:lang w:eastAsia="en-CA"/>
                    </w:rPr>
                    <w:drawing>
                      <wp:inline distT="0" distB="0" distL="0" distR="0" wp14:anchorId="11D674FD" wp14:editId="6B52BB2A">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935D62" w:rsidRDefault="00935D62" w:rsidP="001D45EB">
                  <w:pPr>
                    <w:pStyle w:val="Caption"/>
                    <w:numPr>
                      <w:ilvl w:val="0"/>
                      <w:numId w:val="0"/>
                    </w:numPr>
                    <w:jc w:val="left"/>
                  </w:pPr>
                  <w:r>
                    <w:t xml:space="preserve">Figure </w:t>
                  </w:r>
                  <w:r>
                    <w:fldChar w:fldCharType="begin"/>
                  </w:r>
                  <w:r>
                    <w:instrText xml:space="preserve"> SEQ Figure \* ARABIC </w:instrText>
                  </w:r>
                  <w:r>
                    <w:fldChar w:fldCharType="separate"/>
                  </w:r>
                  <w:r w:rsidR="00CD5BE5">
                    <w:rPr>
                      <w:noProof/>
                    </w:rPr>
                    <w:t>6</w:t>
                  </w:r>
                  <w:r>
                    <w:fldChar w:fldCharType="end"/>
                  </w:r>
                  <w:r>
                    <w:t>. Examples of Euclidian distances and their corresponding just-noticeable difference.</w:t>
                  </w:r>
                </w:p>
              </w:txbxContent>
            </v:textbox>
            <w10:wrap type="square" anchorx="margin" anchory="margin"/>
          </v:shape>
        </w:pict>
      </w:r>
      <w:r w:rsidR="00FF3F57">
        <w:t>Discussion</w:t>
      </w:r>
    </w:p>
    <w:p w:rsidR="002C2366" w:rsidRDefault="000C65A8" w:rsidP="000C65A8">
      <w:pPr>
        <w:pStyle w:val="Text"/>
      </w:pPr>
      <w:r>
        <w:t>Colors that can be corrected regardless of the background</w:t>
      </w:r>
    </w:p>
    <w:p w:rsidR="00707303" w:rsidRDefault="00707303" w:rsidP="000C65A8">
      <w:pPr>
        <w:pStyle w:val="Text"/>
      </w:pPr>
      <w:r>
        <w:t>Camera-based color correction</w:t>
      </w:r>
    </w:p>
    <w:p w:rsidR="00707303" w:rsidRPr="002C2366" w:rsidRDefault="00BE0D7F" w:rsidP="000C65A8">
      <w:pPr>
        <w:pStyle w:val="Text"/>
      </w:pPr>
      <w:r>
        <w:rPr>
          <w:noProof/>
        </w:rPr>
        <w:pict>
          <v:shape id="Text Box 2" o:sp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935D62" w:rsidRDefault="00935D62" w:rsidP="003303DE">
                  <w:pPr>
                    <w:keepNext/>
                    <w:jc w:val="center"/>
                  </w:pPr>
                  <w:r>
                    <w:rPr>
                      <w:noProof/>
                      <w:lang w:eastAsia="en-CA"/>
                    </w:rPr>
                    <w:drawing>
                      <wp:inline distT="0" distB="0" distL="0" distR="0" wp14:anchorId="06034B23" wp14:editId="4766378F">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r>
                    <w:t xml:space="preserve">Figure </w:t>
                  </w:r>
                  <w:r>
                    <w:fldChar w:fldCharType="begin"/>
                  </w:r>
                  <w:r>
                    <w:instrText xml:space="preserve"> SEQ Figure \* ARABIC </w:instrText>
                  </w:r>
                  <w:r>
                    <w:fldChar w:fldCharType="separate"/>
                  </w:r>
                  <w:r w:rsidR="00CD5BE5">
                    <w:rPr>
                      <w:noProof/>
                    </w:rPr>
                    <w:t>7</w:t>
                  </w:r>
                  <w:r>
                    <w:fldChar w:fldCharType="end"/>
                  </w:r>
                  <w:r>
                    <w:t>. Prediction results</w:t>
                  </w:r>
                </w:p>
                <w:p w:rsidR="00935D62" w:rsidRDefault="00935D62" w:rsidP="00E63311">
                  <w:pPr>
                    <w:jc w:val="center"/>
                  </w:pPr>
                </w:p>
              </w:txbxContent>
            </v:textbox>
            <w10:wrap type="square" anchorx="margin" anchory="margin"/>
          </v:shape>
        </w:pict>
      </w:r>
    </w:p>
    <w:p w:rsidR="00FF3F57" w:rsidRDefault="00FF3F57" w:rsidP="00FF3F57">
      <w:pPr>
        <w:pStyle w:val="Heading1"/>
      </w:pPr>
      <w:r>
        <w:lastRenderedPageBreak/>
        <w:t>Conclusions</w:t>
      </w:r>
    </w:p>
    <w:p w:rsidR="002C2366" w:rsidRPr="002C2366" w:rsidRDefault="002C2366" w:rsidP="002C2366">
      <w:pPr>
        <w:rPr>
          <w:lang w:val="en-US"/>
        </w:rPr>
      </w:pPr>
    </w:p>
    <w:p w:rsidR="00935D62" w:rsidRDefault="00076179" w:rsidP="005E0DB6">
      <w:pPr>
        <w:pStyle w:val="ReferenceTitle"/>
      </w:pPr>
      <w:r>
        <w:t>References</w:t>
      </w:r>
    </w:p>
    <w:p w:rsidR="006800C7" w:rsidRDefault="006800C7" w:rsidP="006800C7">
      <w:pPr>
        <w:pStyle w:val="Reference"/>
        <w:spacing w:after="0"/>
      </w:pPr>
      <w:bookmarkStart w:id="8" w:name="_Ref351547952"/>
      <w:bookmarkStart w:id="9" w:name="_Ref6979508"/>
      <w:r w:rsidRPr="00360B26">
        <w:t>Azuma,</w:t>
      </w:r>
      <w:r>
        <w:t xml:space="preserve"> R.,</w:t>
      </w:r>
      <w:r w:rsidRPr="00360B26">
        <w:t xml:space="preserve"> Baillot</w:t>
      </w:r>
      <w:r>
        <w:t>, Y.</w:t>
      </w:r>
      <w:r w:rsidRPr="00360B26">
        <w:t>, Behringer</w:t>
      </w:r>
      <w:r>
        <w:t>, R.</w:t>
      </w:r>
      <w:r w:rsidRPr="00360B26">
        <w:t>, Feiner</w:t>
      </w:r>
      <w:r>
        <w:t>, S.</w:t>
      </w:r>
      <w:r w:rsidRPr="00360B26">
        <w:t>, Julier</w:t>
      </w:r>
      <w:r>
        <w:t>, S.</w:t>
      </w:r>
      <w:r w:rsidRPr="00360B26">
        <w:t>, and MacIntyre</w:t>
      </w:r>
      <w:r>
        <w:t>, B.</w:t>
      </w:r>
      <w:r w:rsidRPr="00360B26">
        <w:t xml:space="preserve"> 2001. Recent Advances in Augmented Reality. </w:t>
      </w:r>
      <w:r>
        <w:t>IEEE Comput. Graph. Appl. 21, 6.</w:t>
      </w:r>
      <w:bookmarkEnd w:id="8"/>
    </w:p>
    <w:p w:rsidR="00AC1C87" w:rsidRDefault="00AC1C87" w:rsidP="00AC1C87">
      <w:pPr>
        <w:pStyle w:val="Reference"/>
        <w:spacing w:after="0"/>
      </w:pPr>
      <w:bookmarkStart w:id="10" w:name="_Ref354247056"/>
      <w:r w:rsidRPr="00AC1C87">
        <w:t>Bimber</w:t>
      </w:r>
      <w:r>
        <w:t>, O.,</w:t>
      </w:r>
      <w:r w:rsidRPr="00AC1C87">
        <w:t xml:space="preserve"> and Fröhlich</w:t>
      </w:r>
      <w:r w:rsidR="00E14DE9">
        <w:t>, B</w:t>
      </w:r>
      <w:r w:rsidRPr="00AC1C87">
        <w:t>. 2002. Occlusion Shadows: Using Projected Light to Generate Realistic Occlusion Effects for View-Dependent Optical See-Through Displays. In Proc</w:t>
      </w:r>
      <w:r>
        <w:t xml:space="preserve">. </w:t>
      </w:r>
      <w:r w:rsidRPr="00AC1C87">
        <w:t>ISMAR '02.</w:t>
      </w:r>
      <w:bookmarkEnd w:id="10"/>
    </w:p>
    <w:p w:rsidR="006800C7" w:rsidRDefault="006800C7" w:rsidP="006800C7">
      <w:pPr>
        <w:pStyle w:val="Reference"/>
        <w:spacing w:after="0"/>
      </w:pPr>
      <w:bookmarkStart w:id="11" w:name="_Ref349312273"/>
      <w:bookmarkStart w:id="12" w:name="_Ref352948081"/>
      <w:r w:rsidRPr="008A44B2">
        <w:t>Bimber</w:t>
      </w:r>
      <w:r>
        <w:t>, O.</w:t>
      </w:r>
      <w:r w:rsidRPr="008A44B2">
        <w:t xml:space="preserve"> and Raskar</w:t>
      </w:r>
      <w:r>
        <w:t xml:space="preserve">, </w:t>
      </w:r>
      <w:r w:rsidRPr="008A44B2">
        <w:t>R. 2005. Spatial Augmented Reality: Merging Real and Virtual Worlds.</w:t>
      </w:r>
      <w:r w:rsidR="00AC1C87">
        <w:t xml:space="preserve"> A. K. Peters, Ltd., Natick, USA</w:t>
      </w:r>
      <w:r w:rsidRPr="008A44B2">
        <w:t>.</w:t>
      </w:r>
      <w:bookmarkEnd w:id="11"/>
      <w:bookmarkEnd w:id="12"/>
    </w:p>
    <w:p w:rsidR="00F82612" w:rsidRDefault="00F82612" w:rsidP="00F82612">
      <w:pPr>
        <w:pStyle w:val="Reference"/>
        <w:spacing w:after="0"/>
      </w:pPr>
      <w:bookmarkStart w:id="13" w:name="_Ref354240716"/>
      <w:r w:rsidRPr="00F82612">
        <w:t>Cakmakci</w:t>
      </w:r>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13"/>
    </w:p>
    <w:p w:rsidR="006800C7" w:rsidRDefault="006800C7" w:rsidP="006800C7">
      <w:pPr>
        <w:pStyle w:val="Reference"/>
        <w:spacing w:after="0"/>
      </w:pPr>
      <w:bookmarkStart w:id="14" w:name="_Ref351547954"/>
      <w:r w:rsidRPr="00360B26">
        <w:t>Carmigniani</w:t>
      </w:r>
      <w:r>
        <w:t>, J.</w:t>
      </w:r>
      <w:r w:rsidRPr="00360B26">
        <w:t>, Furht</w:t>
      </w:r>
      <w:r>
        <w:t>, B.</w:t>
      </w:r>
      <w:r w:rsidRPr="00360B26">
        <w:t>, Anisetti</w:t>
      </w:r>
      <w:r>
        <w:t>, M.</w:t>
      </w:r>
      <w:r w:rsidRPr="00360B26">
        <w:t>, Ceravolo,</w:t>
      </w:r>
      <w:r>
        <w:t xml:space="preserve"> P.,</w:t>
      </w:r>
      <w:r w:rsidRPr="00360B26">
        <w:t xml:space="preserve"> Damiani, </w:t>
      </w:r>
      <w:r>
        <w:t xml:space="preserve">E., </w:t>
      </w:r>
      <w:r w:rsidRPr="00360B26">
        <w:t>and Ivkovic</w:t>
      </w:r>
      <w:r>
        <w:t>, M</w:t>
      </w:r>
      <w:r w:rsidRPr="00360B26">
        <w:t>. 2011. Augmented reality technologies, systems and applications. Multimedia Tools Appl. 51, 1.</w:t>
      </w:r>
      <w:bookmarkEnd w:id="14"/>
    </w:p>
    <w:p w:rsidR="00286AC7" w:rsidRDefault="00286AC7" w:rsidP="00286AC7">
      <w:pPr>
        <w:pStyle w:val="Reference"/>
        <w:spacing w:after="0"/>
      </w:pPr>
      <w:bookmarkStart w:id="15" w:name="_Ref354163299"/>
      <w:r w:rsidRPr="008C4033">
        <w:t xml:space="preserve">Gabbard, </w:t>
      </w:r>
      <w:r>
        <w:t xml:space="preserve">J.L., </w:t>
      </w:r>
      <w:r w:rsidRPr="008C4033">
        <w:t>Swan</w:t>
      </w:r>
      <w:r>
        <w:t>, J.E.</w:t>
      </w:r>
      <w:r w:rsidRPr="008C4033">
        <w:t>, Zedlitz</w:t>
      </w:r>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16" w:name="_Ref353980184"/>
      <w:bookmarkEnd w:id="15"/>
    </w:p>
    <w:p w:rsidR="00286AC7" w:rsidRDefault="00286AC7" w:rsidP="00286AC7">
      <w:pPr>
        <w:pStyle w:val="Reference"/>
        <w:spacing w:after="0"/>
      </w:pPr>
      <w:bookmarkStart w:id="17" w:name="_Ref354257597"/>
      <w:r>
        <w:t xml:space="preserve">GSM arena. (2013, March 19). Lenovo S800 – Full phone specifications. (2011) [Website]. Retrieved from </w:t>
      </w:r>
      <w:hyperlink r:id="rId25" w:history="1">
        <w:r w:rsidRPr="00F603D5">
          <w:rPr>
            <w:rStyle w:val="Hyperlink"/>
          </w:rPr>
          <w:t>http://www.gsmarena.com/lenov</w:t>
        </w:r>
        <w:r w:rsidRPr="00F603D5">
          <w:rPr>
            <w:rStyle w:val="Hyperlink"/>
          </w:rPr>
          <w:t>o</w:t>
        </w:r>
        <w:r w:rsidRPr="00F603D5">
          <w:rPr>
            <w:rStyle w:val="Hyperlink"/>
          </w:rPr>
          <w:t>_s800-4862.php</w:t>
        </w:r>
      </w:hyperlink>
      <w:r>
        <w:t>.</w:t>
      </w:r>
      <w:bookmarkEnd w:id="9"/>
      <w:bookmarkEnd w:id="16"/>
      <w:bookmarkEnd w:id="17"/>
    </w:p>
    <w:p w:rsidR="00670D1A" w:rsidRDefault="00670D1A" w:rsidP="00670D1A">
      <w:pPr>
        <w:pStyle w:val="Reference"/>
        <w:spacing w:after="0"/>
      </w:pPr>
      <w:bookmarkStart w:id="18" w:name="_Ref354248406"/>
      <w:r w:rsidRPr="00670D1A">
        <w:t>Inami</w:t>
      </w:r>
      <w:r>
        <w:t>, M.</w:t>
      </w:r>
      <w:r w:rsidRPr="00670D1A">
        <w:t>, Kawakami,</w:t>
      </w:r>
      <w:r>
        <w:t xml:space="preserve"> N.,</w:t>
      </w:r>
      <w:r w:rsidRPr="00670D1A">
        <w:t xml:space="preserve"> Sekiguchi,</w:t>
      </w:r>
      <w:r>
        <w:t xml:space="preserve"> D.,</w:t>
      </w:r>
      <w:r w:rsidRPr="00670D1A">
        <w:t xml:space="preserve"> Yanagida</w:t>
      </w:r>
      <w:r>
        <w:t>, Y.</w:t>
      </w:r>
      <w:r w:rsidRPr="00670D1A">
        <w:t xml:space="preserve">, Maeda, </w:t>
      </w:r>
      <w:r>
        <w:t xml:space="preserve">T., </w:t>
      </w:r>
      <w:r w:rsidRPr="00670D1A">
        <w:t>and Tachi</w:t>
      </w:r>
      <w:r>
        <w:t>, S.</w:t>
      </w:r>
      <w:r w:rsidRPr="00670D1A">
        <w:t xml:space="preserve"> 2000. Visuo-Haptic Display Using Head-Mounted Projector. In Proc</w:t>
      </w:r>
      <w:r>
        <w:t xml:space="preserve">. </w:t>
      </w:r>
      <w:r w:rsidRPr="00670D1A">
        <w:t>VR '00. IEEE.</w:t>
      </w:r>
      <w:bookmarkEnd w:id="18"/>
    </w:p>
    <w:p w:rsidR="00222E87" w:rsidRDefault="00222E87" w:rsidP="00222E87">
      <w:pPr>
        <w:pStyle w:val="Reference"/>
        <w:spacing w:after="0"/>
      </w:pPr>
      <w:bookmarkStart w:id="19" w:name="_Ref354232024"/>
      <w:r w:rsidRPr="00222E87">
        <w:t>Kerr,</w:t>
      </w:r>
      <w:r>
        <w:t xml:space="preserve"> S.J.,</w:t>
      </w:r>
      <w:r w:rsidRPr="00222E87">
        <w:t xml:space="preserve"> Rice,</w:t>
      </w:r>
      <w:r>
        <w:t xml:space="preserve"> M.D.,</w:t>
      </w:r>
      <w:r w:rsidRPr="00222E87">
        <w:t xml:space="preserve"> Teo,</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Ng-Thamrin</w:t>
      </w:r>
      <w:r>
        <w:t>, L.</w:t>
      </w:r>
      <w:r w:rsidRPr="00222E87">
        <w:t xml:space="preserve">, Thura-Myo,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0" w:name="_Ref354231814"/>
      <w:r>
        <w:t>.</w:t>
      </w:r>
      <w:bookmarkEnd w:id="19"/>
    </w:p>
    <w:p w:rsidR="00A835F6" w:rsidRDefault="00A835F6" w:rsidP="00A835F6">
      <w:pPr>
        <w:pStyle w:val="Reference"/>
        <w:spacing w:after="0"/>
      </w:pPr>
      <w:bookmarkStart w:id="21" w:name="_Ref354241508"/>
      <w:r w:rsidRPr="00A835F6">
        <w:t>Kiyokawa,</w:t>
      </w:r>
      <w:r>
        <w:t xml:space="preserve"> K.,</w:t>
      </w:r>
      <w:r w:rsidRPr="00A835F6">
        <w:t xml:space="preserve"> Billinghurst,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1"/>
    </w:p>
    <w:p w:rsidR="002D00C4" w:rsidRDefault="002D00C4" w:rsidP="00A835F6">
      <w:pPr>
        <w:pStyle w:val="Reference"/>
        <w:spacing w:after="0"/>
      </w:pPr>
      <w:bookmarkStart w:id="22" w:name="_Ref354242106"/>
      <w:r w:rsidRPr="002D00C4">
        <w:rPr>
          <w:lang w:eastAsia="en-CA"/>
        </w:rPr>
        <w:t>Kiyokawa</w:t>
      </w:r>
      <w:r>
        <w:rPr>
          <w:lang w:eastAsia="en-CA"/>
        </w:rPr>
        <w:t>, K.</w:t>
      </w:r>
      <w:r w:rsidRPr="002D00C4">
        <w:rPr>
          <w:lang w:eastAsia="en-CA"/>
        </w:rPr>
        <w:t>, Kurata</w:t>
      </w:r>
      <w:r>
        <w:rPr>
          <w:lang w:eastAsia="en-CA"/>
        </w:rPr>
        <w:t>, Y.</w:t>
      </w:r>
      <w:r w:rsidRPr="002D00C4">
        <w:rPr>
          <w:lang w:eastAsia="en-CA"/>
        </w:rPr>
        <w:t xml:space="preserve">, </w:t>
      </w:r>
      <w:r>
        <w:rPr>
          <w:lang w:eastAsia="en-CA"/>
        </w:rPr>
        <w:t xml:space="preserve">and </w:t>
      </w:r>
      <w:r w:rsidRPr="002D00C4">
        <w:rPr>
          <w:lang w:eastAsia="en-CA"/>
        </w:rPr>
        <w:t>Ohno</w:t>
      </w:r>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22"/>
    </w:p>
    <w:p w:rsidR="00A835F6" w:rsidRDefault="00A835F6" w:rsidP="00A835F6">
      <w:pPr>
        <w:pStyle w:val="Reference"/>
        <w:spacing w:after="0"/>
      </w:pPr>
      <w:bookmarkStart w:id="23" w:name="_Ref354241509"/>
      <w:r w:rsidRPr="00A835F6">
        <w:t>Kiyokawa</w:t>
      </w:r>
      <w:r>
        <w:t>, K.</w:t>
      </w:r>
      <w:r w:rsidRPr="00A835F6">
        <w:t>, Ohno,</w:t>
      </w:r>
      <w:r>
        <w:t xml:space="preserve"> H.,</w:t>
      </w:r>
      <w:r w:rsidRPr="00A835F6">
        <w:t xml:space="preserve"> and Kurata</w:t>
      </w:r>
      <w:r>
        <w:t>, Y.</w:t>
      </w:r>
      <w:r w:rsidRPr="00A835F6">
        <w:t xml:space="preserve"> 2002. Occlusive optical see-through displays in a collaborative setup. In </w:t>
      </w:r>
      <w:r>
        <w:t xml:space="preserve">Proc. </w:t>
      </w:r>
      <w:r w:rsidRPr="00A835F6">
        <w:t>SIGGRAPH '02. ACM</w:t>
      </w:r>
      <w:r>
        <w:t>.</w:t>
      </w:r>
      <w:bookmarkEnd w:id="23"/>
    </w:p>
    <w:p w:rsidR="00BF0E38" w:rsidRDefault="00BF0E38" w:rsidP="00BF0E38">
      <w:pPr>
        <w:pStyle w:val="Reference"/>
        <w:spacing w:after="0"/>
      </w:pPr>
      <w:bookmarkStart w:id="24" w:name="_Ref354232292"/>
      <w:r>
        <w:t>Kruijff, E.; Swan, J.E.; Feiner, S., 2010. Perceptual issues in augmented reality revisited. In Proc. ISMAR’10. IEEE.</w:t>
      </w:r>
      <w:bookmarkEnd w:id="24"/>
    </w:p>
    <w:p w:rsidR="00FE1506" w:rsidRDefault="00FE1506" w:rsidP="00FE1506">
      <w:pPr>
        <w:pStyle w:val="Reference"/>
        <w:spacing w:after="0"/>
      </w:pPr>
      <w:bookmarkStart w:id="25" w:name="_Ref354238752"/>
      <w:r w:rsidRPr="00FE1506">
        <w:t>Leykin</w:t>
      </w:r>
      <w:r>
        <w:t>, A.</w:t>
      </w:r>
      <w:r w:rsidRPr="00FE1506">
        <w:t xml:space="preserve"> and Tuceryan</w:t>
      </w:r>
      <w:r>
        <w:t>, M</w:t>
      </w:r>
      <w:r w:rsidRPr="00FE1506">
        <w:t>. 2004. Automatic Determination of Text Readability over Textured Backgrounds for Augmented Reality Systems. In Proc</w:t>
      </w:r>
      <w:r>
        <w:t xml:space="preserve">. </w:t>
      </w:r>
      <w:r w:rsidRPr="00FE1506">
        <w:t>ISMAR '04. IEEE</w:t>
      </w:r>
      <w:r>
        <w:t>.</w:t>
      </w:r>
      <w:bookmarkEnd w:id="25"/>
    </w:p>
    <w:p w:rsidR="0037587D" w:rsidRDefault="0037587D" w:rsidP="0037587D">
      <w:pPr>
        <w:pStyle w:val="Reference"/>
        <w:spacing w:after="0"/>
      </w:pPr>
      <w:bookmarkStart w:id="26" w:name="_Ref354247285"/>
      <w:r w:rsidRPr="0037587D">
        <w:t>Noda, S., Ba</w:t>
      </w:r>
      <w:r>
        <w:t>n, Y., Sato, K., and Chihara, K. 1999</w:t>
      </w:r>
      <w:r w:rsidRPr="0037587D">
        <w:t>. An Optical See-Through Mixed Reality Display with Realtime Rangefinder and an Active Pattern Light Source. Transactions of the Virtual Reality Society of Japan, 4(4), 665-670.</w:t>
      </w:r>
      <w:bookmarkEnd w:id="26"/>
    </w:p>
    <w:p w:rsidR="00F82612" w:rsidRDefault="00F82612" w:rsidP="00F82612">
      <w:pPr>
        <w:pStyle w:val="Reference"/>
        <w:spacing w:after="0"/>
      </w:pPr>
      <w:bookmarkStart w:id="27" w:name="_Ref354240622"/>
      <w:r w:rsidRPr="00F82612">
        <w:t>Sekuler, A</w:t>
      </w:r>
      <w:r>
        <w:t>.B.</w:t>
      </w:r>
      <w:r w:rsidRPr="00F82612">
        <w:t xml:space="preserve"> and Palmer</w:t>
      </w:r>
      <w:r>
        <w:t xml:space="preserve">. </w:t>
      </w:r>
      <w:r w:rsidRPr="00F82612">
        <w:t>S</w:t>
      </w:r>
      <w:r>
        <w:t>.E</w:t>
      </w:r>
      <w:r w:rsidRPr="00F82612">
        <w:t>. "Perception of partly occluded objects: A microgenetic analysis." Journal of Experimental Psychology: General 121.1 (1992): 95.</w:t>
      </w:r>
      <w:bookmarkEnd w:id="27"/>
    </w:p>
    <w:p w:rsidR="00D84E92" w:rsidRDefault="00D84E92" w:rsidP="00A835F6">
      <w:pPr>
        <w:pStyle w:val="Reference"/>
        <w:spacing w:after="0"/>
      </w:pPr>
      <w:bookmarkStart w:id="28" w:name="_Ref354232048"/>
      <w:r w:rsidRPr="00D84E92">
        <w:t>Tanaka</w:t>
      </w:r>
      <w:r>
        <w:t>, K.</w:t>
      </w:r>
      <w:r w:rsidRPr="00D84E92">
        <w:t xml:space="preserve">, Kishino, </w:t>
      </w:r>
      <w:r>
        <w:t xml:space="preserve">Y., </w:t>
      </w:r>
      <w:r w:rsidRPr="00D84E92">
        <w:t>Miyamae,</w:t>
      </w:r>
      <w:r>
        <w:t xml:space="preserve"> M.,</w:t>
      </w:r>
      <w:r w:rsidRPr="00D84E92">
        <w:t xml:space="preserve"> Terada,</w:t>
      </w:r>
      <w:r>
        <w:t xml:space="preserve"> T.,</w:t>
      </w:r>
      <w:r w:rsidRPr="00D84E92">
        <w:t xml:space="preserve"> and Nishio</w:t>
      </w:r>
      <w:r>
        <w:t>, S</w:t>
      </w:r>
      <w:r w:rsidRPr="00D84E92">
        <w:t>. 2008. An information layout method for an optical see-through head mounted display focusing on the viewability. In Proc</w:t>
      </w:r>
      <w:r>
        <w:t xml:space="preserve">. </w:t>
      </w:r>
      <w:r w:rsidRPr="00D84E92">
        <w:t>ISMAR '08. IEEE</w:t>
      </w:r>
      <w:r>
        <w:t>.</w:t>
      </w:r>
      <w:bookmarkEnd w:id="20"/>
      <w:bookmarkEnd w:id="28"/>
      <w:r w:rsidRPr="00D84E92">
        <w:t xml:space="preserve"> </w:t>
      </w:r>
    </w:p>
    <w:p w:rsidR="00A835F6" w:rsidRDefault="00A835F6" w:rsidP="00A835F6">
      <w:pPr>
        <w:pStyle w:val="Reference"/>
      </w:pPr>
      <w:bookmarkStart w:id="29" w:name="_Ref354241514"/>
      <w:r w:rsidRPr="00A835F6">
        <w:t>Zhou</w:t>
      </w:r>
      <w:r>
        <w:t>, Y.</w:t>
      </w:r>
      <w:r w:rsidRPr="00A835F6">
        <w:t>, Ma,</w:t>
      </w:r>
      <w:r>
        <w:t xml:space="preserve"> J.T.,</w:t>
      </w:r>
      <w:r w:rsidRPr="00A835F6">
        <w:t xml:space="preserve"> Hao,</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Springer-Verlag, Berlin, Heidelberg, 56-62.</w:t>
      </w:r>
      <w:bookmarkEnd w:id="29"/>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0D7F" w:rsidRDefault="00BE0D7F" w:rsidP="008C4033">
      <w:pPr>
        <w:spacing w:after="0" w:line="240" w:lineRule="auto"/>
      </w:pPr>
      <w:r>
        <w:separator/>
      </w:r>
    </w:p>
  </w:endnote>
  <w:endnote w:type="continuationSeparator" w:id="0">
    <w:p w:rsidR="00BE0D7F" w:rsidRDefault="00BE0D7F"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935D62" w:rsidRDefault="00935D62">
        <w:pPr>
          <w:pStyle w:val="Footer"/>
          <w:jc w:val="center"/>
        </w:pPr>
        <w:r>
          <w:fldChar w:fldCharType="begin"/>
        </w:r>
        <w:r>
          <w:instrText xml:space="preserve"> PAGE   \* MERGEFORMAT </w:instrText>
        </w:r>
        <w:r>
          <w:fldChar w:fldCharType="separate"/>
        </w:r>
        <w:r w:rsidR="00D323DB">
          <w:rPr>
            <w:noProof/>
          </w:rPr>
          <w:t>4</w:t>
        </w:r>
        <w:r>
          <w:rPr>
            <w:noProof/>
          </w:rPr>
          <w:fldChar w:fldCharType="end"/>
        </w:r>
      </w:p>
    </w:sdtContent>
  </w:sdt>
  <w:p w:rsidR="00935D62" w:rsidRDefault="00935D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0D7F" w:rsidRDefault="00BE0D7F" w:rsidP="008C4033">
      <w:pPr>
        <w:spacing w:after="0" w:line="240" w:lineRule="auto"/>
      </w:pPr>
      <w:r>
        <w:separator/>
      </w:r>
    </w:p>
  </w:footnote>
  <w:footnote w:type="continuationSeparator" w:id="0">
    <w:p w:rsidR="00BE0D7F" w:rsidRDefault="00BE0D7F"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embedSystemFonts/>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23D14"/>
    <w:rsid w:val="00024FA9"/>
    <w:rsid w:val="00031B51"/>
    <w:rsid w:val="00046785"/>
    <w:rsid w:val="000559AF"/>
    <w:rsid w:val="00076179"/>
    <w:rsid w:val="000761FE"/>
    <w:rsid w:val="00076429"/>
    <w:rsid w:val="00077D4B"/>
    <w:rsid w:val="000A669F"/>
    <w:rsid w:val="000C169C"/>
    <w:rsid w:val="000C65A8"/>
    <w:rsid w:val="000C6FFD"/>
    <w:rsid w:val="000E4649"/>
    <w:rsid w:val="00106D75"/>
    <w:rsid w:val="0011346D"/>
    <w:rsid w:val="00113960"/>
    <w:rsid w:val="00113FF3"/>
    <w:rsid w:val="00156961"/>
    <w:rsid w:val="00162AD8"/>
    <w:rsid w:val="00166032"/>
    <w:rsid w:val="001856C9"/>
    <w:rsid w:val="001B2ADC"/>
    <w:rsid w:val="001C6263"/>
    <w:rsid w:val="001D45EB"/>
    <w:rsid w:val="00222E87"/>
    <w:rsid w:val="00233FA5"/>
    <w:rsid w:val="00236AC1"/>
    <w:rsid w:val="0024544D"/>
    <w:rsid w:val="00286AC7"/>
    <w:rsid w:val="002976DA"/>
    <w:rsid w:val="002A1E3C"/>
    <w:rsid w:val="002C2366"/>
    <w:rsid w:val="002C591D"/>
    <w:rsid w:val="002D00C4"/>
    <w:rsid w:val="002D70D6"/>
    <w:rsid w:val="002F3B65"/>
    <w:rsid w:val="00307123"/>
    <w:rsid w:val="003303DE"/>
    <w:rsid w:val="00365A6A"/>
    <w:rsid w:val="0037587D"/>
    <w:rsid w:val="003A7282"/>
    <w:rsid w:val="003C3C1F"/>
    <w:rsid w:val="00401269"/>
    <w:rsid w:val="00431218"/>
    <w:rsid w:val="00433DEB"/>
    <w:rsid w:val="00455910"/>
    <w:rsid w:val="00457AC4"/>
    <w:rsid w:val="00457B97"/>
    <w:rsid w:val="00463A9F"/>
    <w:rsid w:val="00465163"/>
    <w:rsid w:val="00466B20"/>
    <w:rsid w:val="004724E9"/>
    <w:rsid w:val="004A365E"/>
    <w:rsid w:val="004B29FB"/>
    <w:rsid w:val="004D794E"/>
    <w:rsid w:val="004F23BB"/>
    <w:rsid w:val="004F714D"/>
    <w:rsid w:val="00517BEC"/>
    <w:rsid w:val="005241E9"/>
    <w:rsid w:val="00583E3E"/>
    <w:rsid w:val="005D2AD4"/>
    <w:rsid w:val="005D4440"/>
    <w:rsid w:val="005E0DB6"/>
    <w:rsid w:val="0060282D"/>
    <w:rsid w:val="00615C10"/>
    <w:rsid w:val="00670D1A"/>
    <w:rsid w:val="006800C7"/>
    <w:rsid w:val="006B49FA"/>
    <w:rsid w:val="006F4BAC"/>
    <w:rsid w:val="00707303"/>
    <w:rsid w:val="00710D6B"/>
    <w:rsid w:val="00742F73"/>
    <w:rsid w:val="007917FF"/>
    <w:rsid w:val="007A2BBC"/>
    <w:rsid w:val="007A5672"/>
    <w:rsid w:val="007A7364"/>
    <w:rsid w:val="007E34B6"/>
    <w:rsid w:val="007E3909"/>
    <w:rsid w:val="007F2031"/>
    <w:rsid w:val="007F6840"/>
    <w:rsid w:val="00852ED1"/>
    <w:rsid w:val="008B43E9"/>
    <w:rsid w:val="008C4033"/>
    <w:rsid w:val="008D586E"/>
    <w:rsid w:val="008E5DE5"/>
    <w:rsid w:val="009135FC"/>
    <w:rsid w:val="00927A84"/>
    <w:rsid w:val="00935D62"/>
    <w:rsid w:val="00941EA3"/>
    <w:rsid w:val="009557B5"/>
    <w:rsid w:val="009562EA"/>
    <w:rsid w:val="00990F6A"/>
    <w:rsid w:val="009963EC"/>
    <w:rsid w:val="009963FC"/>
    <w:rsid w:val="009A650F"/>
    <w:rsid w:val="009B0384"/>
    <w:rsid w:val="009D437F"/>
    <w:rsid w:val="009E0333"/>
    <w:rsid w:val="00A065FC"/>
    <w:rsid w:val="00A40349"/>
    <w:rsid w:val="00A46A45"/>
    <w:rsid w:val="00A75EB4"/>
    <w:rsid w:val="00A835F6"/>
    <w:rsid w:val="00A97117"/>
    <w:rsid w:val="00AC1C87"/>
    <w:rsid w:val="00AD7F5F"/>
    <w:rsid w:val="00B12332"/>
    <w:rsid w:val="00B232C5"/>
    <w:rsid w:val="00B50BAD"/>
    <w:rsid w:val="00B57226"/>
    <w:rsid w:val="00B7639E"/>
    <w:rsid w:val="00B81E30"/>
    <w:rsid w:val="00B8281E"/>
    <w:rsid w:val="00B85336"/>
    <w:rsid w:val="00B85D42"/>
    <w:rsid w:val="00B864D2"/>
    <w:rsid w:val="00BD0A5A"/>
    <w:rsid w:val="00BE0D7F"/>
    <w:rsid w:val="00BE3299"/>
    <w:rsid w:val="00BF0E38"/>
    <w:rsid w:val="00C171C7"/>
    <w:rsid w:val="00C40173"/>
    <w:rsid w:val="00C52A60"/>
    <w:rsid w:val="00C55AB8"/>
    <w:rsid w:val="00C56AC6"/>
    <w:rsid w:val="00C67AC2"/>
    <w:rsid w:val="00C7632A"/>
    <w:rsid w:val="00C82054"/>
    <w:rsid w:val="00C83D7C"/>
    <w:rsid w:val="00C91E6E"/>
    <w:rsid w:val="00CA5321"/>
    <w:rsid w:val="00CD3102"/>
    <w:rsid w:val="00CD5BE5"/>
    <w:rsid w:val="00CF346E"/>
    <w:rsid w:val="00D049CA"/>
    <w:rsid w:val="00D10FF3"/>
    <w:rsid w:val="00D323DB"/>
    <w:rsid w:val="00D62904"/>
    <w:rsid w:val="00D63874"/>
    <w:rsid w:val="00D84E92"/>
    <w:rsid w:val="00DA36A7"/>
    <w:rsid w:val="00DB66E1"/>
    <w:rsid w:val="00DC5A7F"/>
    <w:rsid w:val="00DE6D4B"/>
    <w:rsid w:val="00E03787"/>
    <w:rsid w:val="00E14DE9"/>
    <w:rsid w:val="00E57DEB"/>
    <w:rsid w:val="00E63311"/>
    <w:rsid w:val="00E779C2"/>
    <w:rsid w:val="00EA23A6"/>
    <w:rsid w:val="00EC04E3"/>
    <w:rsid w:val="00EC7033"/>
    <w:rsid w:val="00F53583"/>
    <w:rsid w:val="00F82612"/>
    <w:rsid w:val="00F94468"/>
    <w:rsid w:val="00F94528"/>
    <w:rsid w:val="00FA3392"/>
    <w:rsid w:val="00FA569E"/>
    <w:rsid w:val="00FE1506"/>
    <w:rsid w:val="00FE3C7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Default Paragraph Font" w:uiPriority="1"/>
    <w:lsdException w:name="HTML Preformatted" w:uiPriority="99"/>
    <w:lsdException w:name="No List" w:uiPriority="99"/>
  </w:latentStyles>
  <w:style w:type="paragraph" w:default="1" w:styleId="Normal">
    <w:name w:val="Normal"/>
    <w:qFormat/>
    <w:rsid w:val="00DC5A7F"/>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DC5A7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C5A7F"/>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lumistyfilm.com/" TargetMode="External"/><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hyperlink" Target="http://www.gsmarena.com/lenovo_s800-4862.php" TargetMode="External"/><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243E83-A983-4825-AAA6-7BF17B16E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TotalTime>
  <Pages>5</Pages>
  <Words>3439</Words>
  <Characters>19603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22997</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jhincapie</cp:lastModifiedBy>
  <cp:revision>49</cp:revision>
  <cp:lastPrinted>2013-04-11T22:11:00Z</cp:lastPrinted>
  <dcterms:created xsi:type="dcterms:W3CDTF">2012-02-29T15:37:00Z</dcterms:created>
  <dcterms:modified xsi:type="dcterms:W3CDTF">2013-04-21T03:19:00Z</dcterms:modified>
</cp:coreProperties>
</file>