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2C" w:rsidRPr="00BB372C" w:rsidRDefault="00BB372C" w:rsidP="00BB372C">
      <w:pPr>
        <w:pStyle w:val="Title"/>
        <w:spacing w:before="0" w:beforeAutospacing="0" w:after="180"/>
        <w:rPr>
          <w:b w:val="0"/>
        </w:rPr>
      </w:pPr>
      <w:r>
        <w:t xml:space="preserve">The </w:t>
      </w:r>
      <w:proofErr w:type="spellStart"/>
      <w:r>
        <w:t>tBox</w:t>
      </w:r>
      <w:proofErr w:type="spellEnd"/>
      <w:r>
        <w:t>: An Interactive Transparent-Display Box</w:t>
      </w:r>
      <w:r>
        <w:br/>
        <w:t>for Artistic Exhibitions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7031CC" w:rsidRPr="00D62A4A" w:rsidRDefault="007031CC">
            <w:pPr>
              <w:pStyle w:val="Author"/>
            </w:pPr>
            <w:r>
              <w:t>1</w:t>
            </w:r>
            <w:r w:rsidRPr="00BB372C">
              <w:rPr>
                <w:vertAlign w:val="superscript"/>
              </w:rPr>
              <w:t>st</w:t>
            </w:r>
            <w:r>
              <w:t xml:space="preserve"> Author Name</w:t>
            </w:r>
            <w:r w:rsidRPr="00D62A4A">
              <w:t xml:space="preserve"> </w:t>
            </w:r>
          </w:p>
          <w:p w:rsidR="007031CC" w:rsidRPr="00D62A4A" w:rsidRDefault="007031CC">
            <w:pPr>
              <w:pStyle w:val="Affiliation"/>
            </w:pPr>
            <w:r w:rsidRPr="00D62A4A">
              <w:t>Affiliation</w:t>
            </w:r>
          </w:p>
          <w:p w:rsidR="007031CC" w:rsidRPr="00D62A4A" w:rsidRDefault="007031CC">
            <w:pPr>
              <w:pStyle w:val="Affiliation"/>
            </w:pPr>
            <w:r w:rsidRPr="00D62A4A">
              <w:t>Address</w:t>
            </w:r>
          </w:p>
          <w:p w:rsidR="007031CC" w:rsidRPr="00D62A4A" w:rsidRDefault="007031CC">
            <w:pPr>
              <w:pStyle w:val="Affiliation"/>
            </w:pPr>
            <w:r w:rsidRPr="00D62A4A">
              <w:t xml:space="preserve">e-mail address  </w:t>
            </w:r>
          </w:p>
          <w:p w:rsidR="007031CC" w:rsidRPr="00D62A4A" w:rsidRDefault="007031CC">
            <w:pPr>
              <w:pStyle w:val="Affiliation"/>
            </w:pPr>
            <w:r w:rsidRPr="00D62A4A">
              <w:t xml:space="preserve">Optional phone number 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7031CC" w:rsidRPr="00D62A4A" w:rsidRDefault="007031CC" w:rsidP="007031CC">
            <w:pPr>
              <w:pStyle w:val="Author"/>
            </w:pPr>
            <w:r>
              <w:t>2</w:t>
            </w:r>
            <w:r w:rsidRPr="00BB372C">
              <w:rPr>
                <w:vertAlign w:val="superscript"/>
              </w:rPr>
              <w:t>nd</w:t>
            </w:r>
            <w:r>
              <w:t xml:space="preserve"> Author Name</w:t>
            </w:r>
            <w:r w:rsidRPr="00D62A4A">
              <w:t xml:space="preserve"> </w:t>
            </w:r>
          </w:p>
          <w:p w:rsidR="007031CC" w:rsidRPr="00D62A4A" w:rsidRDefault="007031CC" w:rsidP="007031CC">
            <w:pPr>
              <w:pStyle w:val="Affiliation"/>
            </w:pPr>
            <w:r w:rsidRPr="00D62A4A">
              <w:t>Affiliation</w:t>
            </w:r>
          </w:p>
          <w:p w:rsidR="007031CC" w:rsidRPr="00D62A4A" w:rsidRDefault="007031CC" w:rsidP="007031CC">
            <w:pPr>
              <w:pStyle w:val="Affiliation"/>
            </w:pPr>
            <w:r w:rsidRPr="00D62A4A">
              <w:t>Address</w:t>
            </w:r>
          </w:p>
          <w:p w:rsidR="007031CC" w:rsidRPr="00D62A4A" w:rsidRDefault="007031CC" w:rsidP="007031CC">
            <w:pPr>
              <w:pStyle w:val="Affiliation"/>
            </w:pPr>
            <w:r w:rsidRPr="00D62A4A">
              <w:t xml:space="preserve">e-mail address  </w:t>
            </w:r>
          </w:p>
          <w:p w:rsidR="007031CC" w:rsidRPr="00D62A4A" w:rsidRDefault="007031CC" w:rsidP="007031CC">
            <w:pPr>
              <w:pStyle w:val="Affiliation"/>
            </w:pPr>
            <w:r w:rsidRPr="00D62A4A">
              <w:t>Optional phone number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7031CC" w:rsidRPr="00D62A4A" w:rsidRDefault="007031CC" w:rsidP="007031CC">
            <w:pPr>
              <w:pStyle w:val="Author"/>
            </w:pPr>
            <w:r>
              <w:t>3</w:t>
            </w:r>
            <w:r w:rsidRPr="007031CC">
              <w:rPr>
                <w:vertAlign w:val="superscript"/>
              </w:rPr>
              <w:t>rd</w:t>
            </w:r>
            <w:r>
              <w:t xml:space="preserve"> Author Name</w:t>
            </w:r>
            <w:r w:rsidRPr="00D62A4A">
              <w:t xml:space="preserve"> </w:t>
            </w:r>
          </w:p>
          <w:p w:rsidR="007031CC" w:rsidRPr="00D62A4A" w:rsidRDefault="007031CC" w:rsidP="007031CC">
            <w:pPr>
              <w:pStyle w:val="Affiliation"/>
            </w:pPr>
            <w:r w:rsidRPr="00D62A4A">
              <w:t>Affiliation</w:t>
            </w:r>
          </w:p>
          <w:p w:rsidR="007031CC" w:rsidRPr="00D62A4A" w:rsidRDefault="007031CC" w:rsidP="007031CC">
            <w:pPr>
              <w:pStyle w:val="Affiliation"/>
            </w:pPr>
            <w:r w:rsidRPr="00D62A4A">
              <w:t>Address</w:t>
            </w:r>
          </w:p>
          <w:p w:rsidR="007031CC" w:rsidRPr="00D62A4A" w:rsidRDefault="007031CC" w:rsidP="007031CC">
            <w:pPr>
              <w:pStyle w:val="Affiliation"/>
            </w:pPr>
            <w:r w:rsidRPr="00D62A4A">
              <w:t xml:space="preserve">e-mail address  </w:t>
            </w:r>
          </w:p>
          <w:p w:rsidR="007031CC" w:rsidRPr="007031CC" w:rsidRDefault="007031CC" w:rsidP="007031CC">
            <w:pPr>
              <w:pStyle w:val="Author"/>
              <w:rPr>
                <w:b w:val="0"/>
              </w:rPr>
            </w:pPr>
            <w:r w:rsidRPr="007031CC">
              <w:rPr>
                <w:b w:val="0"/>
              </w:rPr>
              <w:t>Optional phone number</w:t>
            </w:r>
          </w:p>
        </w:tc>
      </w:tr>
    </w:tbl>
    <w:p w:rsidR="006B3F1F" w:rsidRDefault="006B3F1F">
      <w:pPr>
        <w:pStyle w:val="Author"/>
        <w:rPr>
          <w:sz w:val="20"/>
        </w:rPr>
      </w:pPr>
    </w:p>
    <w:p w:rsidR="006B3F1F" w:rsidRDefault="006B3F1F">
      <w:pPr>
        <w:pStyle w:val="Author"/>
        <w:rPr>
          <w:sz w:val="20"/>
        </w:rPr>
        <w:sectPr w:rsidR="006B3F1F" w:rsidSect="00DE1746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:rsidR="006B3F1F" w:rsidRDefault="00EE066D">
      <w:pPr>
        <w:pStyle w:val="Heading1"/>
        <w:spacing w:before="0"/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1" layoutInCell="1" allowOverlap="0">
                <wp:simplePos x="0" y="0"/>
                <wp:positionH relativeFrom="margin">
                  <wp:posOffset>0</wp:posOffset>
                </wp:positionH>
                <wp:positionV relativeFrom="margin">
                  <wp:posOffset>6839585</wp:posOffset>
                </wp:positionV>
                <wp:extent cx="3044825" cy="17329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232" w:rsidRDefault="00E35232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Paste the appropriate copyright</w:t>
                            </w:r>
                            <w:r w:rsidR="003A7DC7"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/license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 xml:space="preserve"> statement here.  ACM now su</w:t>
                            </w:r>
                            <w:r w:rsidR="0001659E"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pports three different publication options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E35232" w:rsidRDefault="00E35232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ACM copyright: ACM holds the copyright on the work.  This is the historical approach.</w:t>
                            </w:r>
                          </w:p>
                          <w:p w:rsidR="00E35232" w:rsidRDefault="00E35232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License: The author(s) retain copyright, but ACM receives an exclusive publication license.</w:t>
                            </w:r>
                          </w:p>
                          <w:p w:rsidR="00E35232" w:rsidRDefault="00E35232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Open Access: The author(s) wish to pay for the work to be open access.  The additional fee must be paid to ACM.</w:t>
                            </w:r>
                          </w:p>
                          <w:p w:rsidR="00E35232" w:rsidRDefault="00E35232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This text field is large enough to hold the appropriate release statement assuming it is</w:t>
                            </w:r>
                            <w:r w:rsidR="00901095"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 xml:space="preserve"> single-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 xml:space="preserve">spaced in </w:t>
                            </w:r>
                            <w:proofErr w:type="spellStart"/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TimesNewRoman</w:t>
                            </w:r>
                            <w:proofErr w:type="spellEnd"/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 xml:space="preserve"> 8 point font. </w:t>
                            </w:r>
                            <w:r w:rsidR="008D07FD"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 xml:space="preserve">  Please do not change or modify the size of this text box.</w:t>
                            </w:r>
                          </w:p>
                          <w:p w:rsidR="00E35232" w:rsidRPr="007078B9" w:rsidRDefault="00E35232" w:rsidP="0090145C">
                            <w:pPr>
                              <w:pStyle w:val="Copyright"/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8.55pt;width:239.75pt;height:136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" o:allowoverlap="f" stroked="f">
                <v:textbox inset="0,,0">
                  <w:txbxContent>
                    <w:p w:rsidR="00E35232" w:rsidRDefault="00E35232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Paste the appropriate copyright</w:t>
                      </w:r>
                      <w:r w:rsidR="003A7DC7"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/license</w:t>
                      </w: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 xml:space="preserve"> statement here.  ACM now su</w:t>
                      </w:r>
                      <w:r w:rsidR="0001659E"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pports three different publication options</w:t>
                      </w: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:</w:t>
                      </w:r>
                    </w:p>
                    <w:p w:rsidR="00E35232" w:rsidRDefault="00E35232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ACM copyright: ACM holds the copyright on the work.  This is the historical approach.</w:t>
                      </w:r>
                    </w:p>
                    <w:p w:rsidR="00E35232" w:rsidRDefault="00E35232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License: The author(s) retain copyright, but ACM receives an exclusive publication license.</w:t>
                      </w:r>
                    </w:p>
                    <w:p w:rsidR="00E35232" w:rsidRDefault="00E35232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Open Access: The author(s) wish to pay for the work to be open access.  The additional fee must be paid to ACM.</w:t>
                      </w:r>
                    </w:p>
                    <w:p w:rsidR="00E35232" w:rsidRDefault="00E35232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This text field is large enough to hold the appropriate release statement assuming it is</w:t>
                      </w:r>
                      <w:r w:rsidR="00901095"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 xml:space="preserve"> single-</w:t>
                      </w: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 xml:space="preserve">spaced in TimesNewRoman 8 point font. </w:t>
                      </w:r>
                      <w:r w:rsidR="008D07FD"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 xml:space="preserve">  Please do not change or modify the size of this text box.</w:t>
                      </w:r>
                    </w:p>
                    <w:p w:rsidR="00E35232" w:rsidRPr="007078B9" w:rsidRDefault="00E35232" w:rsidP="0090145C">
                      <w:pPr>
                        <w:pStyle w:val="Copyright"/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6B3F1F">
        <w:t>ABSTRACT</w:t>
      </w:r>
    </w:p>
    <w:p w:rsidR="006B3F1F" w:rsidRDefault="00BB372C">
      <w:r>
        <w:t xml:space="preserve">We present the </w:t>
      </w:r>
      <w:proofErr w:type="spellStart"/>
      <w:r>
        <w:t>tBox</w:t>
      </w:r>
      <w:proofErr w:type="spellEnd"/>
      <w:r>
        <w:t xml:space="preserve"> – a transparent-display box supporting the exhibition of artifacts at an art gallery. The </w:t>
      </w:r>
      <w:proofErr w:type="spellStart"/>
      <w:r>
        <w:t>tBox</w:t>
      </w:r>
      <w:proofErr w:type="spellEnd"/>
      <w:r>
        <w:t xml:space="preserve"> attracts visitors toward the exhibit, highlights physical regions of interests in the physical artifact, and provides access </w:t>
      </w:r>
      <w:r w:rsidR="002F01A2">
        <w:t xml:space="preserve">to </w:t>
      </w:r>
      <w:r w:rsidR="001E6165">
        <w:t xml:space="preserve">related digital resources. The </w:t>
      </w:r>
      <w:proofErr w:type="spellStart"/>
      <w:r w:rsidR="001E6165">
        <w:t>tBox</w:t>
      </w:r>
      <w:proofErr w:type="spellEnd"/>
      <w:r w:rsidR="001E6165">
        <w:t xml:space="preserve"> tracks proximity and orientation of a visitor and adjust the visualizations in order to capture and maintain their attention. </w:t>
      </w:r>
      <w:r w:rsidR="004B51FE">
        <w:t xml:space="preserve">At the box, visitors can obtain information both as unobtrusive labels or in rich format including images and video. This paper focuses on the design of the </w:t>
      </w:r>
      <w:proofErr w:type="spellStart"/>
      <w:r w:rsidR="004B51FE">
        <w:t>tBox</w:t>
      </w:r>
      <w:proofErr w:type="spellEnd"/>
      <w:r w:rsidR="004B51FE">
        <w:t xml:space="preserve"> and presents three contributions: First, based on user-centered design approach we present a series of characteristics a transparent showcase should support for an art gallery setting. Second, we describe the </w:t>
      </w:r>
      <w:proofErr w:type="spellStart"/>
      <w:r w:rsidR="004B51FE">
        <w:t>tBox</w:t>
      </w:r>
      <w:proofErr w:type="spellEnd"/>
      <w:r w:rsidR="004B51FE">
        <w:t>, includin</w:t>
      </w:r>
      <w:r w:rsidR="00EA73E3">
        <w:t xml:space="preserve">g our attention management framework and the solutions to the </w:t>
      </w:r>
      <w:r w:rsidR="00EA73E3">
        <w:t>problems</w:t>
      </w:r>
      <w:r w:rsidR="00EA73E3">
        <w:t xml:space="preserve"> of tracking calibration and binocular parallax. </w:t>
      </w:r>
      <w:r w:rsidR="000A1966">
        <w:t>Finally</w:t>
      </w:r>
      <w:r w:rsidR="00EA73E3">
        <w:t xml:space="preserve">, we present preliminary feedback on the </w:t>
      </w:r>
      <w:proofErr w:type="spellStart"/>
      <w:r w:rsidR="00EA73E3">
        <w:t>tBox</w:t>
      </w:r>
      <w:proofErr w:type="spellEnd"/>
      <w:r w:rsidR="00EA73E3">
        <w:t xml:space="preserve"> from the perspectives of the </w:t>
      </w:r>
      <w:r w:rsidR="000A1966">
        <w:t>artist</w:t>
      </w:r>
      <w:r w:rsidR="00EA73E3">
        <w:t xml:space="preserve">, the curator and the </w:t>
      </w:r>
      <w:r w:rsidR="000A1966">
        <w:t xml:space="preserve">gallery </w:t>
      </w:r>
      <w:r w:rsidR="00BE0FF0">
        <w:t>visitors based on an ongoing deployment at an art gallery, and propose</w:t>
      </w:r>
      <w:r w:rsidR="00EA73E3">
        <w:t xml:space="preserve"> a design space definition for transparent display exhibit boxes.</w:t>
      </w:r>
    </w:p>
    <w:p w:rsidR="006B3F1F" w:rsidRDefault="006B3F1F">
      <w:pPr>
        <w:pStyle w:val="Heading2"/>
      </w:pPr>
      <w:r>
        <w:t>Author Keywords</w:t>
      </w:r>
    </w:p>
    <w:p w:rsidR="006B3F1F" w:rsidRDefault="00EA73E3" w:rsidP="00E65B32">
      <w:pPr>
        <w:jc w:val="left"/>
      </w:pPr>
      <w:r>
        <w:t>Transparent Displays, Museum Setting, Binocular Parallax, Attention Management</w:t>
      </w:r>
    </w:p>
    <w:p w:rsidR="006B3F1F" w:rsidRDefault="006B3F1F" w:rsidP="00E65B32">
      <w:pPr>
        <w:pStyle w:val="Heading2"/>
        <w:spacing w:before="0"/>
        <w:jc w:val="left"/>
      </w:pPr>
      <w:r>
        <w:t>ACM Classification Keywords</w:t>
      </w:r>
    </w:p>
    <w:p w:rsidR="006B3F1F" w:rsidRDefault="006B3F1F" w:rsidP="00E65B32">
      <w:pPr>
        <w:jc w:val="left"/>
      </w:pPr>
      <w:r>
        <w:t>H</w:t>
      </w:r>
      <w:r w:rsidR="007E174B">
        <w:t>.</w:t>
      </w:r>
      <w:r w:rsidR="00B70752">
        <w:t>5.2 [</w:t>
      </w:r>
      <w:r>
        <w:t>Information interfaces and presentation</w:t>
      </w:r>
      <w:r w:rsidR="00B70752">
        <w:t>]</w:t>
      </w:r>
      <w:r>
        <w:t xml:space="preserve">: </w:t>
      </w:r>
      <w:r w:rsidR="00B70752">
        <w:t>User Interfaces – Graphical user interfaces.</w:t>
      </w:r>
    </w:p>
    <w:p w:rsidR="00A6678D" w:rsidRDefault="00A6678D" w:rsidP="00A6678D">
      <w:pPr>
        <w:pStyle w:val="Heading1"/>
      </w:pPr>
      <w:r>
        <w:t>INTRODUCTION</w:t>
      </w:r>
    </w:p>
    <w:p w:rsidR="002F01A2" w:rsidRDefault="009973BF" w:rsidP="002F01A2">
      <w:r>
        <w:t>Artifact arrangements protect the artifact and provide</w:t>
      </w:r>
      <w:r w:rsidR="002F01A2">
        <w:t xml:space="preserve"> information about it. Users see the object, compare the information to the artifact, discuss the others, point to places of interest, etc.</w:t>
      </w:r>
      <w:r>
        <w:t xml:space="preserve"> Paper labels, posters, images, diagrams, etc.</w:t>
      </w:r>
      <w:r w:rsidR="002F01A2">
        <w:t xml:space="preserve"> </w:t>
      </w:r>
      <w:proofErr w:type="gramStart"/>
      <w:r w:rsidR="002F01A2">
        <w:t>Supporting the museum visit</w:t>
      </w:r>
      <w:r>
        <w:t>/learning</w:t>
      </w:r>
      <w:r w:rsidR="002F01A2">
        <w:t>.</w:t>
      </w:r>
      <w:proofErr w:type="gramEnd"/>
    </w:p>
    <w:p w:rsidR="009973BF" w:rsidRDefault="009973BF" w:rsidP="002F01A2">
      <w:r>
        <w:lastRenderedPageBreak/>
        <w:t xml:space="preserve">The museum visiting experience is being redefined by novel technologies aimed at boosting different aspects of it such as </w:t>
      </w:r>
      <w:r w:rsidR="008B561B">
        <w:t xml:space="preserve">attracting visitors, </w:t>
      </w:r>
      <w:r>
        <w:t xml:space="preserve">learning, in depth information, pre-post visits and </w:t>
      </w:r>
      <w:r w:rsidR="008B561B">
        <w:t>group engagement.</w:t>
      </w:r>
    </w:p>
    <w:p w:rsidR="00F84D0E" w:rsidRDefault="00F84D0E" w:rsidP="002F01A2">
      <w:r>
        <w:t>Interactive technologies benefit the museum visit experience. However, many instances of such technologies interfere with the other aspects of the experience: take space in crowded areas, take the attention from the exhibited artifact, prevent the social experience</w:t>
      </w:r>
      <w:r w:rsidR="008B561B">
        <w:t>,</w:t>
      </w:r>
      <w:r>
        <w:t xml:space="preserve"> and present interaction mechanisms designed for other settings. </w:t>
      </w:r>
    </w:p>
    <w:p w:rsidR="00F84D0E" w:rsidRDefault="00F84D0E" w:rsidP="002F01A2">
      <w:r>
        <w:t xml:space="preserve">In this paper we introduce the </w:t>
      </w:r>
      <w:proofErr w:type="spellStart"/>
      <w:r>
        <w:t>tBox</w:t>
      </w:r>
      <w:proofErr w:type="spellEnd"/>
      <w:r>
        <w:t>, a transparent display exhibition box providing the information needs of the museum visiting experience</w:t>
      </w:r>
      <w:r w:rsidR="008B561B">
        <w:t xml:space="preserve"> [see figure 1]</w:t>
      </w:r>
      <w:r>
        <w:t xml:space="preserve">. </w:t>
      </w:r>
      <w:r w:rsidR="008B561B">
        <w:t>With t</w:t>
      </w:r>
      <w:r>
        <w:t xml:space="preserve">he </w:t>
      </w:r>
      <w:proofErr w:type="spellStart"/>
      <w:r>
        <w:t>tBox</w:t>
      </w:r>
      <w:proofErr w:type="spellEnd"/>
      <w:r>
        <w:t xml:space="preserve"> </w:t>
      </w:r>
      <w:r w:rsidR="008B561B">
        <w:t xml:space="preserve">we avoid introducing </w:t>
      </w:r>
      <w:r>
        <w:t xml:space="preserve">novel devices </w:t>
      </w:r>
      <w:r w:rsidR="008B561B">
        <w:t xml:space="preserve">into </w:t>
      </w:r>
      <w:r>
        <w:t xml:space="preserve">the art </w:t>
      </w:r>
      <w:proofErr w:type="gramStart"/>
      <w:r>
        <w:t>gallery,</w:t>
      </w:r>
      <w:proofErr w:type="gramEnd"/>
      <w:r>
        <w:t xml:space="preserve"> </w:t>
      </w:r>
      <w:r w:rsidR="008B561B">
        <w:t>rather we augment</w:t>
      </w:r>
      <w:r>
        <w:t xml:space="preserve"> the transparent cases being used today, with the information and interaction capabilities enabled by </w:t>
      </w:r>
      <w:r w:rsidR="008B561B">
        <w:t>a transparent touch and gesture-</w:t>
      </w:r>
      <w:r>
        <w:t xml:space="preserve">enabled display. We present the design and implementation of the </w:t>
      </w:r>
      <w:proofErr w:type="spellStart"/>
      <w:r>
        <w:t>tBox</w:t>
      </w:r>
      <w:proofErr w:type="spellEnd"/>
      <w:r>
        <w:t xml:space="preserve"> focusing on the particular hardware and software challenges </w:t>
      </w:r>
      <w:r w:rsidR="008B561B">
        <w:t xml:space="preserve">we faced. Based on our fieldwork, the experience building the </w:t>
      </w:r>
      <w:proofErr w:type="spellStart"/>
      <w:r w:rsidR="008B561B">
        <w:t>tBox</w:t>
      </w:r>
      <w:proofErr w:type="spellEnd"/>
      <w:r w:rsidR="008B561B">
        <w:t>, and preliminary feedback from curators, artists, gallery administration and visitors, we propose a design space for the design of similar transparent-display boxes that support information access in an art gallery.</w:t>
      </w:r>
    </w:p>
    <w:p w:rsidR="008B561B" w:rsidRDefault="006C16C7" w:rsidP="006C16C7">
      <w:pPr>
        <w:pStyle w:val="Heading1"/>
      </w:pPr>
      <w:r>
        <w:t>RELATED WORK</w:t>
      </w:r>
    </w:p>
    <w:p w:rsidR="006C16C7" w:rsidRDefault="006C16C7" w:rsidP="006C16C7"/>
    <w:p w:rsidR="006C16C7" w:rsidRDefault="006C16C7" w:rsidP="006C16C7">
      <w:pPr>
        <w:pStyle w:val="Heading1"/>
      </w:pPr>
      <w:r>
        <w:t>VISITING AN EXHIBIT</w:t>
      </w:r>
    </w:p>
    <w:p w:rsidR="006C16C7" w:rsidRDefault="006C16C7" w:rsidP="006C16C7">
      <w:r>
        <w:t>The artist</w:t>
      </w:r>
    </w:p>
    <w:p w:rsidR="006C16C7" w:rsidRDefault="006C16C7" w:rsidP="006C16C7">
      <w:r>
        <w:t>The gallery</w:t>
      </w:r>
    </w:p>
    <w:p w:rsidR="006C16C7" w:rsidRDefault="006C16C7" w:rsidP="006C16C7">
      <w:r>
        <w:t>The curator</w:t>
      </w:r>
    </w:p>
    <w:p w:rsidR="006C16C7" w:rsidRDefault="006C16C7" w:rsidP="006C16C7">
      <w:r>
        <w:t>The visitor</w:t>
      </w:r>
    </w:p>
    <w:p w:rsidR="006C16C7" w:rsidRPr="006C16C7" w:rsidRDefault="006C16C7" w:rsidP="006C16C7">
      <w:pPr>
        <w:pStyle w:val="Heading2"/>
      </w:pPr>
      <w:r>
        <w:t>SYSTEM OVERVIEW</w:t>
      </w:r>
    </w:p>
    <w:p w:rsidR="009973BF" w:rsidRDefault="006C16C7" w:rsidP="002F01A2">
      <w:r>
        <w:t>Intro</w:t>
      </w:r>
    </w:p>
    <w:p w:rsidR="006C16C7" w:rsidRDefault="006C16C7" w:rsidP="006C16C7">
      <w:pPr>
        <w:pStyle w:val="Heading2"/>
      </w:pPr>
      <w:r>
        <w:t xml:space="preserve">The </w:t>
      </w:r>
      <w:proofErr w:type="spellStart"/>
      <w:r>
        <w:t>tBox</w:t>
      </w:r>
      <w:proofErr w:type="spellEnd"/>
    </w:p>
    <w:p w:rsidR="006C16C7" w:rsidRDefault="006C16C7" w:rsidP="006C16C7">
      <w:pPr>
        <w:pStyle w:val="Heading2"/>
      </w:pPr>
      <w:r>
        <w:t>Attention Management</w:t>
      </w:r>
    </w:p>
    <w:p w:rsidR="006C16C7" w:rsidRDefault="006C16C7" w:rsidP="006C16C7">
      <w:pPr>
        <w:pStyle w:val="Heading2"/>
      </w:pPr>
      <w:r>
        <w:t xml:space="preserve">Information Access </w:t>
      </w:r>
    </w:p>
    <w:p w:rsidR="006C16C7" w:rsidRDefault="006C16C7" w:rsidP="006C16C7">
      <w:r>
        <w:t>Gesture</w:t>
      </w:r>
    </w:p>
    <w:p w:rsidR="006C16C7" w:rsidRDefault="006C16C7" w:rsidP="006C16C7">
      <w:r>
        <w:t>Touch</w:t>
      </w:r>
    </w:p>
    <w:p w:rsidR="006C16C7" w:rsidRDefault="006C16C7" w:rsidP="006C16C7">
      <w:pPr>
        <w:pStyle w:val="Heading2"/>
      </w:pPr>
      <w:r>
        <w:lastRenderedPageBreak/>
        <w:t>Conditions of a Gallery Visit</w:t>
      </w:r>
    </w:p>
    <w:p w:rsidR="006C16C7" w:rsidRDefault="006C16C7" w:rsidP="006C16C7"/>
    <w:p w:rsidR="006C16C7" w:rsidRDefault="006C16C7" w:rsidP="006C16C7">
      <w:pPr>
        <w:pStyle w:val="Heading2"/>
      </w:pPr>
      <w:r>
        <w:t>Object versus Content</w:t>
      </w:r>
    </w:p>
    <w:p w:rsidR="006C16C7" w:rsidRPr="006C16C7" w:rsidRDefault="006C16C7" w:rsidP="006C16C7"/>
    <w:p w:rsidR="006C16C7" w:rsidRPr="006C16C7" w:rsidRDefault="006C16C7" w:rsidP="006C16C7">
      <w:pPr>
        <w:pStyle w:val="Heading2"/>
      </w:pPr>
      <w:r>
        <w:t>Post Visit Support</w:t>
      </w:r>
    </w:p>
    <w:p w:rsidR="006C16C7" w:rsidRPr="006C16C7" w:rsidRDefault="006C16C7" w:rsidP="006C16C7">
      <w:pPr>
        <w:pStyle w:val="Heading1"/>
      </w:pPr>
      <w:r>
        <w:t>Technical Implementation</w:t>
      </w:r>
    </w:p>
    <w:p w:rsidR="006C16C7" w:rsidRDefault="006C16C7">
      <w:pPr>
        <w:spacing w:after="0"/>
        <w:jc w:val="left"/>
      </w:pPr>
      <w:r>
        <w:t>The Box</w:t>
      </w:r>
    </w:p>
    <w:p w:rsidR="006C16C7" w:rsidRDefault="006C16C7">
      <w:pPr>
        <w:spacing w:after="0"/>
        <w:jc w:val="left"/>
      </w:pPr>
      <w:r>
        <w:t>Software</w:t>
      </w:r>
    </w:p>
    <w:p w:rsidR="006C16C7" w:rsidRDefault="006C16C7">
      <w:pPr>
        <w:spacing w:after="0"/>
        <w:jc w:val="left"/>
      </w:pPr>
      <w:r>
        <w:t>Visitor Detection</w:t>
      </w:r>
    </w:p>
    <w:p w:rsidR="006C16C7" w:rsidRDefault="006C16C7">
      <w:pPr>
        <w:spacing w:after="0"/>
        <w:jc w:val="left"/>
      </w:pPr>
      <w:r>
        <w:t>Binocular Highlights</w:t>
      </w:r>
    </w:p>
    <w:p w:rsidR="006C16C7" w:rsidRDefault="006C16C7">
      <w:pPr>
        <w:spacing w:after="0"/>
        <w:jc w:val="left"/>
      </w:pPr>
      <w:r>
        <w:t>Calibration Routine</w:t>
      </w:r>
    </w:p>
    <w:p w:rsidR="006C16C7" w:rsidRDefault="006C16C7" w:rsidP="006C16C7">
      <w:pPr>
        <w:pStyle w:val="Heading1"/>
      </w:pPr>
      <w:r>
        <w:t>Prelimin</w:t>
      </w:r>
      <w:bookmarkStart w:id="0" w:name="_GoBack"/>
      <w:bookmarkEnd w:id="0"/>
      <w:r>
        <w:t>ary Feedback</w:t>
      </w:r>
    </w:p>
    <w:p w:rsidR="006C16C7" w:rsidRPr="006C16C7" w:rsidRDefault="006C16C7" w:rsidP="006C16C7"/>
    <w:p w:rsidR="006C16C7" w:rsidRDefault="006C16C7" w:rsidP="006C16C7">
      <w:pPr>
        <w:pStyle w:val="Heading1"/>
      </w:pPr>
      <w:r>
        <w:t>A design SPace for INteractive Art cases</w:t>
      </w:r>
    </w:p>
    <w:p w:rsidR="006C16C7" w:rsidRPr="006C16C7" w:rsidRDefault="006C16C7" w:rsidP="006C16C7"/>
    <w:p w:rsidR="006C16C7" w:rsidRDefault="006C16C7" w:rsidP="006C16C7">
      <w:pPr>
        <w:pStyle w:val="Heading1"/>
      </w:pPr>
      <w:r>
        <w:t>COnclusions</w:t>
      </w:r>
    </w:p>
    <w:p w:rsidR="006C16C7" w:rsidRPr="006C16C7" w:rsidRDefault="006C16C7" w:rsidP="006C16C7"/>
    <w:p w:rsidR="006C16C7" w:rsidRDefault="006C16C7">
      <w:pPr>
        <w:pStyle w:val="Heading1"/>
      </w:pPr>
      <w:r>
        <w:lastRenderedPageBreak/>
        <w:t>Acknowledgements</w:t>
      </w:r>
    </w:p>
    <w:p w:rsidR="006B3F1F" w:rsidRDefault="006B3F1F">
      <w:pPr>
        <w:pStyle w:val="Heading1"/>
      </w:pPr>
      <w:r>
        <w:t>REFERENCES</w:t>
      </w:r>
    </w:p>
    <w:p w:rsidR="006B3F1F" w:rsidRDefault="006B3F1F" w:rsidP="00454A5E">
      <w:pPr>
        <w:pStyle w:val="References"/>
        <w:numPr>
          <w:ilvl w:val="0"/>
          <w:numId w:val="22"/>
        </w:numPr>
        <w:ind w:left="270" w:hanging="270"/>
        <w:jc w:val="left"/>
      </w:pPr>
      <w:bookmarkStart w:id="1" w:name="_Ref10968375"/>
      <w:r w:rsidRPr="00D62A4A">
        <w:t>Adobe Acrobat Reader 7</w:t>
      </w:r>
      <w:r w:rsidR="006127F1">
        <w:t>, Be sure that the references sections text is</w:t>
      </w:r>
      <w:r w:rsidR="003E3C69">
        <w:t xml:space="preserve"> Ragged Right, Not Justified</w:t>
      </w:r>
      <w:r w:rsidRPr="00D62A4A">
        <w:t>.</w:t>
      </w:r>
      <w:r w:rsidRPr="00D62A4A">
        <w:rPr>
          <w:color w:val="0000FF"/>
          <w:u w:val="single"/>
        </w:rPr>
        <w:t xml:space="preserve"> </w:t>
      </w:r>
      <w:r w:rsidRPr="00D62A4A">
        <w:t>http://www.adobe.com/products/acrobat/</w:t>
      </w:r>
      <w:r>
        <w:t>.</w:t>
      </w:r>
    </w:p>
    <w:p w:rsidR="006B3F1F" w:rsidRPr="00D62A4A" w:rsidRDefault="006B3F1F" w:rsidP="00454A5E">
      <w:pPr>
        <w:pStyle w:val="References"/>
        <w:numPr>
          <w:ilvl w:val="0"/>
          <w:numId w:val="22"/>
        </w:numPr>
        <w:ind w:left="270" w:hanging="270"/>
        <w:jc w:val="left"/>
      </w:pPr>
      <w:r w:rsidRPr="00D62A4A">
        <w:t>Anderson, R.E</w:t>
      </w:r>
      <w:r w:rsidR="00AA7718">
        <w:t xml:space="preserve">. </w:t>
      </w:r>
      <w:r w:rsidRPr="00D62A4A">
        <w:t xml:space="preserve">Social impacts of computing: </w:t>
      </w:r>
      <w:r w:rsidR="001465AB">
        <w:br/>
      </w:r>
      <w:r w:rsidRPr="00D62A4A">
        <w:t xml:space="preserve">Codes of professional ethics. </w:t>
      </w:r>
      <w:r w:rsidRPr="00D62A4A">
        <w:rPr>
          <w:i/>
        </w:rPr>
        <w:t>Social Science Computing Review 10</w:t>
      </w:r>
      <w:r w:rsidRPr="00D62A4A">
        <w:t>, 2 (1992), 453-469.</w:t>
      </w:r>
      <w:bookmarkEnd w:id="1"/>
    </w:p>
    <w:p w:rsidR="006B3F1F" w:rsidRPr="00D62A4A" w:rsidRDefault="006B3F1F" w:rsidP="00454A5E">
      <w:pPr>
        <w:pStyle w:val="References"/>
        <w:numPr>
          <w:ilvl w:val="0"/>
          <w:numId w:val="22"/>
        </w:numPr>
        <w:ind w:left="270" w:hanging="270"/>
        <w:jc w:val="left"/>
      </w:pPr>
      <w:r w:rsidRPr="00D62A4A">
        <w:t>How to Classify Works Using ACM’s Computing Classification System.</w:t>
      </w:r>
      <w:r w:rsidRPr="00D62A4A">
        <w:br/>
      </w:r>
      <w:hyperlink r:id="rId8" w:history="1">
        <w:r w:rsidRPr="00D62A4A">
          <w:rPr>
            <w:rStyle w:val="Hyperlink"/>
            <w:color w:val="auto"/>
            <w:u w:val="none"/>
          </w:rPr>
          <w:t>http://www.acm.org/class/how_to_use.html</w:t>
        </w:r>
      </w:hyperlink>
      <w:r w:rsidRPr="00D62A4A">
        <w:rPr>
          <w:color w:val="000000"/>
        </w:rPr>
        <w:t>.</w:t>
      </w:r>
    </w:p>
    <w:p w:rsidR="006B3F1F" w:rsidRPr="00D62A4A" w:rsidRDefault="006B3F1F" w:rsidP="00454A5E">
      <w:pPr>
        <w:pStyle w:val="References"/>
        <w:numPr>
          <w:ilvl w:val="0"/>
          <w:numId w:val="22"/>
        </w:numPr>
        <w:ind w:left="270" w:hanging="270"/>
        <w:jc w:val="left"/>
      </w:pPr>
      <w:bookmarkStart w:id="2" w:name="_Ref12175337"/>
      <w:bookmarkStart w:id="3" w:name="_Ref10968351"/>
      <w:proofErr w:type="spellStart"/>
      <w:r w:rsidRPr="00D62A4A">
        <w:t>Klemmer</w:t>
      </w:r>
      <w:proofErr w:type="spellEnd"/>
      <w:r w:rsidRPr="00D62A4A">
        <w:t xml:space="preserve">, R.S., Thomsen, M., Phelps-Goodman, E., Lee, R. and </w:t>
      </w:r>
      <w:proofErr w:type="spellStart"/>
      <w:r w:rsidRPr="00D62A4A">
        <w:t>Landay</w:t>
      </w:r>
      <w:proofErr w:type="spellEnd"/>
      <w:r w:rsidRPr="00D62A4A">
        <w:t>, J.A. Where do web sites come from? Capturing and interacting with design history</w:t>
      </w:r>
      <w:r w:rsidR="00AA7718">
        <w:t xml:space="preserve">. </w:t>
      </w:r>
      <w:r w:rsidR="001465AB">
        <w:br/>
      </w:r>
      <w:r w:rsidRPr="00D62A4A">
        <w:t xml:space="preserve">In </w:t>
      </w:r>
      <w:r w:rsidRPr="00D62A4A">
        <w:rPr>
          <w:i/>
        </w:rPr>
        <w:t>Proc. CHI 2002</w:t>
      </w:r>
      <w:r w:rsidRPr="00D62A4A">
        <w:t>, ACM Press (2002), 1-8.</w:t>
      </w:r>
      <w:bookmarkEnd w:id="2"/>
    </w:p>
    <w:p w:rsidR="006B3F1F" w:rsidRPr="00D62A4A" w:rsidRDefault="006B3F1F" w:rsidP="00454A5E">
      <w:pPr>
        <w:pStyle w:val="References"/>
        <w:numPr>
          <w:ilvl w:val="0"/>
          <w:numId w:val="22"/>
        </w:numPr>
        <w:ind w:left="270" w:hanging="270"/>
        <w:jc w:val="left"/>
      </w:pPr>
      <w:r w:rsidRPr="00D62A4A">
        <w:t xml:space="preserve">Mather, B.D. Making up titles for conference papers. </w:t>
      </w:r>
      <w:r w:rsidRPr="00D62A4A">
        <w:rPr>
          <w:i/>
        </w:rPr>
        <w:t>Ext. Abstracts CHI 2000</w:t>
      </w:r>
      <w:r w:rsidRPr="00D62A4A">
        <w:t>, ACM Press (2000), 1-2.</w:t>
      </w:r>
    </w:p>
    <w:p w:rsidR="006B3F1F" w:rsidRPr="00D62A4A" w:rsidRDefault="006B3F1F" w:rsidP="00454A5E">
      <w:pPr>
        <w:pStyle w:val="References"/>
        <w:numPr>
          <w:ilvl w:val="0"/>
          <w:numId w:val="22"/>
        </w:numPr>
        <w:ind w:left="270" w:hanging="270"/>
        <w:jc w:val="left"/>
      </w:pPr>
      <w:r w:rsidRPr="00D62A4A">
        <w:t xml:space="preserve">Schwartz, M. </w:t>
      </w:r>
      <w:r w:rsidRPr="00D62A4A">
        <w:rPr>
          <w:i/>
        </w:rPr>
        <w:t>Guidelines for Bias-Free Writing</w:t>
      </w:r>
      <w:r w:rsidRPr="00D62A4A">
        <w:t xml:space="preserve">. </w:t>
      </w:r>
      <w:r w:rsidR="001465AB">
        <w:br/>
      </w:r>
      <w:r w:rsidRPr="00D62A4A">
        <w:t>Indiana University Press, Bloomington, IN</w:t>
      </w:r>
      <w:bookmarkEnd w:id="3"/>
      <w:r w:rsidRPr="00D62A4A">
        <w:t>, USA, 1995.</w:t>
      </w:r>
    </w:p>
    <w:p w:rsidR="006B3F1F" w:rsidRPr="00D62A4A" w:rsidRDefault="006B3F1F" w:rsidP="00454A5E">
      <w:pPr>
        <w:pStyle w:val="References"/>
        <w:numPr>
          <w:ilvl w:val="0"/>
          <w:numId w:val="22"/>
        </w:numPr>
        <w:ind w:left="270" w:hanging="270"/>
        <w:jc w:val="left"/>
      </w:pPr>
      <w:bookmarkStart w:id="4" w:name="_Ref12175343"/>
      <w:proofErr w:type="spellStart"/>
      <w:r w:rsidRPr="00D62A4A">
        <w:t>Zellweger</w:t>
      </w:r>
      <w:proofErr w:type="spellEnd"/>
      <w:r w:rsidRPr="00D62A4A">
        <w:t xml:space="preserve">, P.T., </w:t>
      </w:r>
      <w:proofErr w:type="spellStart"/>
      <w:r w:rsidRPr="00D62A4A">
        <w:t>Bouvin</w:t>
      </w:r>
      <w:proofErr w:type="spellEnd"/>
      <w:r w:rsidRPr="00D62A4A">
        <w:t xml:space="preserve">, N.O., </w:t>
      </w:r>
      <w:proofErr w:type="spellStart"/>
      <w:r w:rsidRPr="00D62A4A">
        <w:t>Jehøj</w:t>
      </w:r>
      <w:proofErr w:type="spellEnd"/>
      <w:r w:rsidRPr="00D62A4A">
        <w:t xml:space="preserve">, H., and </w:t>
      </w:r>
      <w:proofErr w:type="spellStart"/>
      <w:r w:rsidRPr="00D62A4A">
        <w:t>Mackinlay</w:t>
      </w:r>
      <w:proofErr w:type="spellEnd"/>
      <w:r w:rsidRPr="00D62A4A">
        <w:t xml:space="preserve">, J.D. Fluid Annotations in an Open World. </w:t>
      </w:r>
      <w:r w:rsidRPr="00D62A4A">
        <w:rPr>
          <w:i/>
        </w:rPr>
        <w:t>Proc. Hypertext 2001</w:t>
      </w:r>
      <w:r w:rsidRPr="00D62A4A">
        <w:t>, ACM Press (2001), 9-18.</w:t>
      </w:r>
      <w:bookmarkEnd w:id="4"/>
      <w:r w:rsidRPr="00D62A4A">
        <w:t xml:space="preserve"> </w:t>
      </w:r>
    </w:p>
    <w:p w:rsidR="006B3F1F" w:rsidRDefault="006B3F1F">
      <w:pPr>
        <w:pStyle w:val="References"/>
        <w:ind w:left="0" w:firstLine="0"/>
        <w:sectPr w:rsidR="006B3F1F" w:rsidSect="00DE1746">
          <w:headerReference w:type="even" r:id="rId9"/>
          <w:type w:val="continuous"/>
          <w:pgSz w:w="12240" w:h="15840" w:code="1"/>
          <w:pgMar w:top="1224" w:right="1080" w:bottom="1440" w:left="1080" w:header="720" w:footer="720" w:gutter="0"/>
          <w:cols w:num="2" w:space="432"/>
        </w:sectPr>
      </w:pPr>
    </w:p>
    <w:p w:rsidR="006B3F1F" w:rsidRDefault="006B3F1F">
      <w:pPr>
        <w:pStyle w:val="Paper-Title"/>
      </w:pPr>
    </w:p>
    <w:p w:rsidR="006B3F1F" w:rsidRDefault="006B3F1F">
      <w:pPr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The columns on the last page should be of approximately equal length.</w:t>
      </w:r>
      <w:r w:rsidR="00D60FA7">
        <w:rPr>
          <w:rFonts w:ascii="Helvetica" w:hAnsi="Helvetica"/>
          <w:b/>
          <w:sz w:val="24"/>
        </w:rPr>
        <w:t xml:space="preserve"> </w:t>
      </w:r>
      <w:r w:rsidR="00D10462">
        <w:rPr>
          <w:rFonts w:ascii="Helvetica" w:hAnsi="Helvetica"/>
          <w:b/>
          <w:sz w:val="24"/>
        </w:rPr>
        <w:br/>
      </w:r>
      <w:r w:rsidR="00D60FA7" w:rsidRPr="00D10462">
        <w:rPr>
          <w:rFonts w:ascii="Helvetica" w:hAnsi="Helvetica"/>
          <w:b/>
          <w:color w:val="FF0000"/>
          <w:sz w:val="24"/>
        </w:rPr>
        <w:t>Remove these two lines from your final version.</w:t>
      </w:r>
    </w:p>
    <w:sectPr w:rsidR="006B3F1F" w:rsidSect="00DE1746">
      <w:type w:val="continuous"/>
      <w:pgSz w:w="12240" w:h="15840" w:code="1"/>
      <w:pgMar w:top="122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D41" w:rsidRDefault="009C3D41">
      <w:r>
        <w:separator/>
      </w:r>
    </w:p>
  </w:endnote>
  <w:endnote w:type="continuationSeparator" w:id="0">
    <w:p w:rsidR="009C3D41" w:rsidRDefault="009C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D41" w:rsidRDefault="009C3D41">
      <w:r>
        <w:separator/>
      </w:r>
    </w:p>
  </w:footnote>
  <w:footnote w:type="continuationSeparator" w:id="0">
    <w:p w:rsidR="009C3D41" w:rsidRDefault="009C3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232" w:rsidRDefault="00E35232" w:rsidP="006B3F1F">
    <w:pPr>
      <w:pStyle w:val="Header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B813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5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6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9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0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2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22"/>
  </w:num>
  <w:num w:numId="23">
    <w:abstractNumId w:val="16"/>
  </w:num>
  <w:num w:numId="24">
    <w:abstractNumId w:val="11"/>
  </w:num>
  <w:num w:numId="25">
    <w:abstractNumId w:val="17"/>
  </w:num>
  <w:num w:numId="26">
    <w:abstractNumId w:val="15"/>
  </w:num>
  <w:num w:numId="27">
    <w:abstractNumId w:val="18"/>
  </w:num>
  <w:num w:numId="28">
    <w:abstractNumId w:val="19"/>
  </w:num>
  <w:num w:numId="29">
    <w:abstractNumId w:val="14"/>
  </w:num>
  <w:num w:numId="30">
    <w:abstractNumId w:val="21"/>
  </w:num>
  <w:num w:numId="31">
    <w:abstractNumId w:val="13"/>
  </w:num>
  <w:num w:numId="32">
    <w:abstractNumId w:val="23"/>
  </w:num>
  <w:num w:numId="33">
    <w:abstractNumId w:val="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1659E"/>
    <w:rsid w:val="000333DE"/>
    <w:rsid w:val="0003450C"/>
    <w:rsid w:val="00055598"/>
    <w:rsid w:val="000728F3"/>
    <w:rsid w:val="00072B3A"/>
    <w:rsid w:val="000A1966"/>
    <w:rsid w:val="000A3852"/>
    <w:rsid w:val="000B6A11"/>
    <w:rsid w:val="000B72DA"/>
    <w:rsid w:val="000E4445"/>
    <w:rsid w:val="000E5328"/>
    <w:rsid w:val="0010210D"/>
    <w:rsid w:val="001105CA"/>
    <w:rsid w:val="00123CFD"/>
    <w:rsid w:val="00137145"/>
    <w:rsid w:val="001465AB"/>
    <w:rsid w:val="00151FAA"/>
    <w:rsid w:val="00161911"/>
    <w:rsid w:val="00197B90"/>
    <w:rsid w:val="001C2A81"/>
    <w:rsid w:val="001D29E1"/>
    <w:rsid w:val="001E6165"/>
    <w:rsid w:val="001F062E"/>
    <w:rsid w:val="001F40BF"/>
    <w:rsid w:val="0020192F"/>
    <w:rsid w:val="00210191"/>
    <w:rsid w:val="00227741"/>
    <w:rsid w:val="0024113A"/>
    <w:rsid w:val="0025707B"/>
    <w:rsid w:val="002862A4"/>
    <w:rsid w:val="002F01A2"/>
    <w:rsid w:val="002F61EC"/>
    <w:rsid w:val="00310376"/>
    <w:rsid w:val="00340493"/>
    <w:rsid w:val="003500C6"/>
    <w:rsid w:val="00354AC8"/>
    <w:rsid w:val="00355923"/>
    <w:rsid w:val="0039156C"/>
    <w:rsid w:val="003948CB"/>
    <w:rsid w:val="003A7DC7"/>
    <w:rsid w:val="003B07DF"/>
    <w:rsid w:val="003B1F3C"/>
    <w:rsid w:val="003D7F56"/>
    <w:rsid w:val="003E1FB5"/>
    <w:rsid w:val="003E3C69"/>
    <w:rsid w:val="0041136C"/>
    <w:rsid w:val="0041270E"/>
    <w:rsid w:val="00454A5E"/>
    <w:rsid w:val="00455004"/>
    <w:rsid w:val="0046771C"/>
    <w:rsid w:val="00480F98"/>
    <w:rsid w:val="00493EDB"/>
    <w:rsid w:val="004B241B"/>
    <w:rsid w:val="004B4E2C"/>
    <w:rsid w:val="004B51FE"/>
    <w:rsid w:val="004C3AB4"/>
    <w:rsid w:val="004F5754"/>
    <w:rsid w:val="004F7602"/>
    <w:rsid w:val="005004D4"/>
    <w:rsid w:val="00505DFC"/>
    <w:rsid w:val="00507848"/>
    <w:rsid w:val="00551456"/>
    <w:rsid w:val="00553092"/>
    <w:rsid w:val="00560E90"/>
    <w:rsid w:val="00591C69"/>
    <w:rsid w:val="005A1DB7"/>
    <w:rsid w:val="005C216A"/>
    <w:rsid w:val="005C632C"/>
    <w:rsid w:val="005D144D"/>
    <w:rsid w:val="005E3A00"/>
    <w:rsid w:val="006048E3"/>
    <w:rsid w:val="0061007B"/>
    <w:rsid w:val="006127F1"/>
    <w:rsid w:val="00613D18"/>
    <w:rsid w:val="006619D3"/>
    <w:rsid w:val="00663A28"/>
    <w:rsid w:val="00684747"/>
    <w:rsid w:val="0069261B"/>
    <w:rsid w:val="00695F7C"/>
    <w:rsid w:val="006973A2"/>
    <w:rsid w:val="006A620B"/>
    <w:rsid w:val="006B3F1F"/>
    <w:rsid w:val="006C16C7"/>
    <w:rsid w:val="006E401D"/>
    <w:rsid w:val="007031CC"/>
    <w:rsid w:val="007078B9"/>
    <w:rsid w:val="00734875"/>
    <w:rsid w:val="00752A83"/>
    <w:rsid w:val="00770435"/>
    <w:rsid w:val="007A43F0"/>
    <w:rsid w:val="007C7E48"/>
    <w:rsid w:val="007E174B"/>
    <w:rsid w:val="007F61EF"/>
    <w:rsid w:val="008134A2"/>
    <w:rsid w:val="00855456"/>
    <w:rsid w:val="008639E0"/>
    <w:rsid w:val="00890771"/>
    <w:rsid w:val="008B561B"/>
    <w:rsid w:val="008C3181"/>
    <w:rsid w:val="008D07FD"/>
    <w:rsid w:val="00901095"/>
    <w:rsid w:val="0090145C"/>
    <w:rsid w:val="00923416"/>
    <w:rsid w:val="009375E5"/>
    <w:rsid w:val="00954859"/>
    <w:rsid w:val="009863CF"/>
    <w:rsid w:val="00992D8D"/>
    <w:rsid w:val="009973BF"/>
    <w:rsid w:val="009A62ED"/>
    <w:rsid w:val="009C3D41"/>
    <w:rsid w:val="009D0E6F"/>
    <w:rsid w:val="009E3B95"/>
    <w:rsid w:val="00A1173C"/>
    <w:rsid w:val="00A3272B"/>
    <w:rsid w:val="00A62A70"/>
    <w:rsid w:val="00A631A3"/>
    <w:rsid w:val="00A6678D"/>
    <w:rsid w:val="00A729A3"/>
    <w:rsid w:val="00A8132E"/>
    <w:rsid w:val="00AA7718"/>
    <w:rsid w:val="00AB2711"/>
    <w:rsid w:val="00AB6E70"/>
    <w:rsid w:val="00AC2B33"/>
    <w:rsid w:val="00AC7B51"/>
    <w:rsid w:val="00B26FEF"/>
    <w:rsid w:val="00B70752"/>
    <w:rsid w:val="00B82F58"/>
    <w:rsid w:val="00BB372C"/>
    <w:rsid w:val="00BD2529"/>
    <w:rsid w:val="00BE0FF0"/>
    <w:rsid w:val="00C06485"/>
    <w:rsid w:val="00C42DF6"/>
    <w:rsid w:val="00C668FF"/>
    <w:rsid w:val="00C852D4"/>
    <w:rsid w:val="00CA5766"/>
    <w:rsid w:val="00D10462"/>
    <w:rsid w:val="00D12810"/>
    <w:rsid w:val="00D155A0"/>
    <w:rsid w:val="00D170CB"/>
    <w:rsid w:val="00D60FA7"/>
    <w:rsid w:val="00D84763"/>
    <w:rsid w:val="00DE1746"/>
    <w:rsid w:val="00E21718"/>
    <w:rsid w:val="00E309BC"/>
    <w:rsid w:val="00E35232"/>
    <w:rsid w:val="00E35A4C"/>
    <w:rsid w:val="00E64DDD"/>
    <w:rsid w:val="00E65B32"/>
    <w:rsid w:val="00E66CCF"/>
    <w:rsid w:val="00E833F8"/>
    <w:rsid w:val="00EA2FD2"/>
    <w:rsid w:val="00EA73E3"/>
    <w:rsid w:val="00EB3CF4"/>
    <w:rsid w:val="00EC54AB"/>
    <w:rsid w:val="00EE066D"/>
    <w:rsid w:val="00EF53FE"/>
    <w:rsid w:val="00F01986"/>
    <w:rsid w:val="00F311C1"/>
    <w:rsid w:val="00F41687"/>
    <w:rsid w:val="00F5437C"/>
    <w:rsid w:val="00F56305"/>
    <w:rsid w:val="00F71803"/>
    <w:rsid w:val="00F82DC3"/>
    <w:rsid w:val="00F84D0E"/>
    <w:rsid w:val="00F90E70"/>
    <w:rsid w:val="00FA519E"/>
    <w:rsid w:val="00FC5A94"/>
    <w:rsid w:val="00FD3E2C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pPr>
      <w:spacing w:after="0"/>
      <w:jc w:val="center"/>
    </w:pPr>
    <w:rPr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pPr>
      <w:keepNext/>
      <w:spacing w:before="12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pPr>
      <w:overflowPunct w:val="0"/>
      <w:autoSpaceDE w:val="0"/>
      <w:autoSpaceDN w:val="0"/>
      <w:adjustRightInd w:val="0"/>
      <w:spacing w:after="80"/>
      <w:ind w:left="270" w:hanging="270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ffiliation">
    <w:name w:val="Affiliation"/>
    <w:basedOn w:val="Autho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pPr>
      <w:keepLines/>
      <w:spacing w:before="40" w:after="40"/>
      <w:jc w:val="left"/>
    </w:p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DefaultParagraphFont"/>
    <w:rsid w:val="00F01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pPr>
      <w:spacing w:after="0"/>
      <w:jc w:val="center"/>
    </w:pPr>
    <w:rPr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pPr>
      <w:keepNext/>
      <w:spacing w:before="12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pPr>
      <w:overflowPunct w:val="0"/>
      <w:autoSpaceDE w:val="0"/>
      <w:autoSpaceDN w:val="0"/>
      <w:adjustRightInd w:val="0"/>
      <w:spacing w:after="80"/>
      <w:ind w:left="270" w:hanging="270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ffiliation">
    <w:name w:val="Affiliation"/>
    <w:basedOn w:val="Autho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pPr>
      <w:keepLines/>
      <w:spacing w:before="40" w:after="40"/>
      <w:jc w:val="left"/>
    </w:p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DefaultParagraphFont"/>
    <w:rsid w:val="00F0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m.org/class/how_to_us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SIGCHI Conference Paper Format</vt:lpstr>
      <vt:lpstr>SIGCHI Conference Paper Format</vt:lpstr>
    </vt:vector>
  </TitlesOfParts>
  <Company>ACM</Company>
  <LinksUpToDate>false</LinksUpToDate>
  <CharactersWithSpaces>4856</CharactersWithSpaces>
  <SharedDoc>false</SharedDoc>
  <HLinks>
    <vt:vector size="36" baseType="variant">
      <vt:variant>
        <vt:i4>3080250</vt:i4>
      </vt:variant>
      <vt:variant>
        <vt:i4>18</vt:i4>
      </vt:variant>
      <vt:variant>
        <vt:i4>0</vt:i4>
      </vt:variant>
      <vt:variant>
        <vt:i4>5</vt:i4>
      </vt:variant>
      <vt:variant>
        <vt:lpwstr>http://www.acm.org/class/how_to_use.html</vt:lpwstr>
      </vt:variant>
      <vt:variant>
        <vt:lpwstr/>
      </vt:variant>
      <vt:variant>
        <vt:i4>65537</vt:i4>
      </vt:variant>
      <vt:variant>
        <vt:i4>15</vt:i4>
      </vt:variant>
      <vt:variant>
        <vt:i4>0</vt:i4>
      </vt:variant>
      <vt:variant>
        <vt:i4>5</vt:i4>
      </vt:variant>
      <vt:variant>
        <vt:lpwstr>http://www.sheridanprinting.com/typedept/ACM-distilling-settings.htm</vt:lpwstr>
      </vt:variant>
      <vt:variant>
        <vt:lpwstr/>
      </vt:variant>
      <vt:variant>
        <vt:i4>4259861</vt:i4>
      </vt:variant>
      <vt:variant>
        <vt:i4>12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786473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6029321</vt:i4>
      </vt:variant>
      <vt:variant>
        <vt:i4>3</vt:i4>
      </vt:variant>
      <vt:variant>
        <vt:i4>0</vt:i4>
      </vt:variant>
      <vt:variant>
        <vt:i4>5</vt:i4>
      </vt:variant>
      <vt:variant>
        <vt:lpwstr>http://www.sheridanprinting.com/info.html</vt:lpwstr>
      </vt:variant>
      <vt:variant>
        <vt:lpwstr/>
      </vt:variant>
      <vt:variant>
        <vt:i4>196681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http://www.acm.org/about/class/1998/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creator>SIGCHI</dc:creator>
  <cp:keywords>Guides, instructions, Author's kit, Conference Publications</cp:keywords>
  <cp:lastModifiedBy>jhincapie</cp:lastModifiedBy>
  <cp:revision>8</cp:revision>
  <cp:lastPrinted>2011-12-13T15:57:00Z</cp:lastPrinted>
  <dcterms:created xsi:type="dcterms:W3CDTF">2013-08-13T20:37:00Z</dcterms:created>
  <dcterms:modified xsi:type="dcterms:W3CDTF">2013-08-13T22:13:00Z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