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9F229C" w:rsidRDefault="009F229C"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9F229C" w:rsidP="001B28D9">
            <w:r>
              <w:t xml:space="preserve">When </w:t>
            </w:r>
            <w:r w:rsidR="00C323E3">
              <w:t>I was reading a bar chart, pie chart, or some geometry on the math book. I will need to find out the value in the graph. Its area, percentage, and diameter.</w:t>
            </w:r>
          </w:p>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C323E3" w:rsidP="001B28D9">
            <w:r>
              <w:t>In some cases ruler is not convenient for querying. For example, when I need to know the area of a circle</w:t>
            </w:r>
            <w:r w:rsidR="00265BA9">
              <w:t xml:space="preserve"> on a paper</w:t>
            </w:r>
            <w:r>
              <w:t>. But using a transparent tablet I could align a circle on top of it and it will calculate the area for me.</w:t>
            </w:r>
          </w:p>
          <w:p w:rsidR="00265BA9" w:rsidRDefault="00265BA9"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bookmarkStart w:id="0" w:name="_GoBack"/>
            <w:bookmarkEnd w:id="0"/>
          </w:p>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lastRenderedPageBreak/>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265BA9"/>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265BA9"/>
    <w:rsid w:val="002C640D"/>
    <w:rsid w:val="005A0B87"/>
    <w:rsid w:val="005E5CB8"/>
    <w:rsid w:val="00677C85"/>
    <w:rsid w:val="009F229C"/>
    <w:rsid w:val="00A233A6"/>
    <w:rsid w:val="00C323E3"/>
    <w:rsid w:val="00E61F2B"/>
    <w:rsid w:val="00F00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4</cp:revision>
  <dcterms:created xsi:type="dcterms:W3CDTF">2013-08-30T21:01:00Z</dcterms:created>
  <dcterms:modified xsi:type="dcterms:W3CDTF">2013-08-30T21:23:00Z</dcterms:modified>
</cp:coreProperties>
</file>