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36"/>
          <w:szCs w:val="36"/>
        </w:rPr>
        <w:t xml:space="preserve">IT-SIMPLERA INSTITUTE</w:t>
      </w:r>
    </w:p>
    <w:p>
      <w:pPr>
        <w:spacing w:after="400"/>
        <w:jc w:val="center"/>
      </w:pPr>
      <w:r>
        <w:rPr>
          <w:color w:val="444444"/>
          <w:sz w:val="26"/>
          <w:szCs w:val="26"/>
        </w:rPr>
        <w:t xml:space="preserve">Cyber Security Analyst Internship Program</w:t>
      </w:r>
    </w:p>
    <w:p>
      <w:pPr>
        <w:spacing w:after="100"/>
        <w:jc w:val="center"/>
      </w:pPr>
      <w:r>
        <w:rPr>
          <w:b/>
          <w:bCs/>
          <w:sz w:val="32"/>
          <w:szCs w:val="32"/>
        </w:rPr>
        <w:t xml:space="preserve">WEEK 04 ASSIGNMENT</w:t>
      </w:r>
    </w:p>
    <w:p>
      <w:pPr>
        <w:spacing w:after="600"/>
        <w:jc w:val="center"/>
      </w:pPr>
      <w:r>
        <w:rPr>
          <w:i/>
          <w:iCs/>
          <w:color w:val="444444"/>
          <w:sz w:val="26"/>
          <w:szCs w:val="26"/>
        </w:rPr>
        <w:t xml:space="preserve">Reconnaissance &amp; OSINT Assessment Report</w:t>
      </w:r>
    </w:p>
    <w:p>
      <w:pPr>
        <w:spacing w:after="60"/>
        <w:jc w:val="center"/>
      </w:pPr>
      <w:r>
        <w:rPr>
          <w:b/>
          <w:bCs/>
          <w:sz w:val="22"/>
          <w:szCs w:val="22"/>
        </w:rPr>
        <w:t xml:space="preserve">Authorized Practice Target: indrive.com (Public Bug Bounty Program — HackerOne)</w:t>
      </w:r>
    </w:p>
    <w:p>
      <w:pPr>
        <w:spacing w:after="600"/>
        <w:jc w:val="center"/>
      </w:pPr>
      <w:r>
        <w:rPr>
          <w:color w:val="777777"/>
          <w:sz w:val="20"/>
          <w:szCs w:val="20"/>
        </w:rPr>
        <w:t xml:space="preserve">Scope: Passive &amp; OSINT-based reconnaissance only — no exploitation performed</w:t>
      </w:r>
    </w:p>
    <w:p>
      <w:pPr>
        <w:spacing w:after="40" w:before="1200"/>
        <w:jc w:val="center"/>
      </w:pPr>
      <w:r>
        <w:rPr>
          <w:sz w:val="22"/>
          <w:szCs w:val="22"/>
        </w:rPr>
        <w:t xml:space="preserve">Prepared by: Talal Rehan</w:t>
      </w:r>
    </w:p>
    <w:p>
      <w:pPr>
        <w:spacing w:after="40"/>
        <w:jc w:val="center"/>
      </w:pPr>
      <w:r>
        <w:rPr>
          <w:sz w:val="22"/>
          <w:szCs w:val="22"/>
        </w:rPr>
        <w:t xml:space="preserve">Assigned to: Cyber Security Analyst Interns</w:t>
      </w:r>
    </w:p>
    <w:p>
      <w:pPr>
        <w:spacing w:after="40"/>
        <w:jc w:val="center"/>
      </w:pPr>
      <w:r>
        <w:rPr>
          <w:sz w:val="22"/>
          <w:szCs w:val="22"/>
        </w:rPr>
        <w:t xml:space="preserve">Department: Cyber Security</w:t>
      </w:r>
    </w:p>
    <w:p>
      <w:pPr>
        <w:spacing w:after="40"/>
        <w:jc w:val="center"/>
      </w:pPr>
      <w:r>
        <w:rPr>
          <w:sz w:val="22"/>
          <w:szCs w:val="22"/>
        </w:rPr>
        <w:t xml:space="preserve">Supervisor: Senior Cyber Security Analyst</w:t>
      </w:r>
    </w:p>
    <w:p>
      <w:pPr>
        <w:spacing w:after="40"/>
        <w:jc w:val="center"/>
      </w:pPr>
      <w:r>
        <w:rPr>
          <w:sz w:val="22"/>
          <w:szCs w:val="22"/>
        </w:rPr>
        <w:t xml:space="preserve">Submission Deadline: 24 July 2026</w:t>
      </w:r>
    </w:p>
    <w:p>
      <w:r>
        <w:br w:type="page"/>
      </w:r>
    </w:p>
    <w:p>
      <w:pPr>
        <w:sectPr>
          <w:pgSz w:w="12240" w:h="15840" w:orient="portrait"/>
          <w:pgMar w:top="1080" w:right="1080" w:bottom="1080" w:left="1080" w:header="708" w:footer="708" w:gutter="0"/>
          <w:pgNumType/>
          <w:docGrid w:linePitch="360"/>
        </w:sectPr>
      </w:pP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Introduction</w:t>
      </w:r>
    </w:p>
    <w:p>
      <w:pPr>
        <w:spacing w:after="150"/>
      </w:pPr>
      <w:r>
        <w:t xml:space="preserve">Reconnaissance and Open Source Intelligence (OSINT) gathering form the foundation of any professional penetration testing or bug bounty engagement. Before any active testing takes place, a security analyst must build an accurate picture of the target's digital footprint — its domains, subdomains, hosting infrastructure, exposed services, and underlying technologies. Information gathered ethically and passively allows an analyst to prioritize testing effort, understand the attack surface, and avoid unnecessary or unauthorized interaction with production systems.</w:t>
      </w:r>
    </w:p>
    <w:p>
      <w:pPr>
        <w:spacing w:after="150"/>
      </w:pPr>
      <w:r>
        <w:t xml:space="preserve">This report documents a reconnaissance and OSINT assessment carried out against indrive.com, a ride-hailing and logistics platform operated by SUOL Innovations Ltd. indrive.com was selected as the authorized practice target because it operates a public bug bounty program on the HackerOne platform (hackerone.com/indrive), which explicitly permits reconnaissance and vulnerability research within its defined scope. All activity performed for this assignment was strictly passive and OSINT-based — WHOIS/DNS lookups, public search-engine queries (Google Dorking), subdomain enumeration using public data sources, and fingerprinting of already-public HTTP responses. No exploitation, authentication bypass, brute-forcing, or any activity outside of passive information gathering was carried out.</w:t>
      </w:r>
    </w:p>
    <w:p>
      <w:pPr>
        <w:spacing w:after="150"/>
      </w:pPr>
      <w:r>
        <w:t xml:space="preserve">The following sections present the methodology, tools, evidence, and findings for each task defined in the Week 4 assignment brief, followed by a summary of challenges encountered and a set of risk observations based purely on what was publicly discoverable.</w:t>
      </w:r>
    </w:p>
    <w:p>
      <w:pPr>
        <w:pStyle w:val="Heading1"/>
        <w:spacing w:after="200" w:before="400"/>
      </w:pPr>
      <w:r>
        <w:t xml:space="preserve">Task 1 — Passive Reconnaissance</w:t>
      </w:r>
    </w:p>
    <w:p>
      <w:pPr>
        <w:spacing w:after="150"/>
      </w:pPr>
      <w:r>
        <w:t xml:space="preserve">Target: indrive.com — the corporate/consumer domain of inDrive, an international ride-hailing, delivery, and freight platform.</w:t>
      </w:r>
    </w:p>
    <w:p>
      <w:pPr>
        <w:pStyle w:val="Heading2"/>
        <w:spacing w:after="150" w:before="300"/>
      </w:pPr>
      <w:r>
        <w:t xml:space="preserve">1.1 Organization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Attribute</w:t>
            </w:r>
          </w:p>
        </w:tc>
        <w:tc>
          <w:tcPr>
            <w:tcW w:type="dxa" w:w="6200"/>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Product / Brand</w:t>
            </w:r>
          </w:p>
        </w:tc>
        <w:tc>
          <w:tcPr>
            <w:tcW w:type="dxa" w:w="6200"/>
            <w:tcMar>
              <w:top w:type="dxa" w:w="80"/>
              <w:left w:type="dxa" w:w="100"/>
              <w:bottom w:type="dxa" w:w="80"/>
              <w:right w:type="dxa" w:w="100"/>
            </w:tcMar>
            <w:vAlign w:val="center"/>
          </w:tcPr>
          <w:p>
            <w:r>
              <w:rPr>
                <w:b w:val="false"/>
                <w:bCs w:val="false"/>
                <w:color w:val="000000"/>
                <w:sz w:val="19"/>
                <w:szCs w:val="19"/>
              </w:rPr>
              <w:t xml:space="preserve">inDrive — ride-hailing, delivery, cargo and freight marketplace app</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Registrant Organization</w:t>
            </w:r>
          </w:p>
        </w:tc>
        <w:tc>
          <w:tcPr>
            <w:tcW w:type="dxa" w:w="6200"/>
            <w:tcMar>
              <w:top w:type="dxa" w:w="80"/>
              <w:left w:type="dxa" w:w="100"/>
              <w:bottom w:type="dxa" w:w="80"/>
              <w:right w:type="dxa" w:w="100"/>
            </w:tcMar>
            <w:vAlign w:val="center"/>
          </w:tcPr>
          <w:p>
            <w:r>
              <w:rPr>
                <w:b w:val="false"/>
                <w:bCs w:val="false"/>
                <w:color w:val="000000"/>
                <w:sz w:val="19"/>
                <w:szCs w:val="19"/>
              </w:rPr>
              <w:t xml:space="preserve">SUOL Innovations Ltd.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Registrant Location (WHOIS)</w:t>
            </w:r>
          </w:p>
        </w:tc>
        <w:tc>
          <w:tcPr>
            <w:tcW w:type="dxa" w:w="6200"/>
            <w:tcMar>
              <w:top w:type="dxa" w:w="80"/>
              <w:left w:type="dxa" w:w="100"/>
              <w:bottom w:type="dxa" w:w="80"/>
              <w:right w:type="dxa" w:w="100"/>
            </w:tcMar>
            <w:vAlign w:val="center"/>
          </w:tcPr>
          <w:p>
            <w:r>
              <w:rPr>
                <w:b w:val="false"/>
                <w:bCs w:val="false"/>
                <w:color w:val="000000"/>
                <w:sz w:val="19"/>
                <w:szCs w:val="19"/>
              </w:rPr>
              <w:t xml:space="preserve">Nicosia, Cyprus</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Bug Bounty Program</w:t>
            </w:r>
          </w:p>
        </w:tc>
        <w:tc>
          <w:tcPr>
            <w:tcW w:type="dxa" w:w="6200"/>
            <w:tcMar>
              <w:top w:type="dxa" w:w="80"/>
              <w:left w:type="dxa" w:w="100"/>
              <w:bottom w:type="dxa" w:w="80"/>
              <w:right w:type="dxa" w:w="100"/>
            </w:tcMar>
            <w:vAlign w:val="center"/>
          </w:tcPr>
          <w:p>
            <w:r>
              <w:rPr>
                <w:b w:val="false"/>
                <w:bCs w:val="false"/>
                <w:color w:val="000000"/>
                <w:sz w:val="19"/>
                <w:szCs w:val="19"/>
              </w:rPr>
              <w:t xml:space="preserve">hackerone.com/indrive (public, authorizes reconnaissance/testing within scope)</w:t>
            </w:r>
          </w:p>
        </w:tc>
      </w:tr>
    </w:tbl>
    <w:p>
      <w:pPr>
        <w:pStyle w:val="Heading2"/>
        <w:spacing w:after="150" w:before="300"/>
      </w:pPr>
      <w:r>
        <w:t xml:space="preserve">1.2 Main Domain &amp; Registrar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Attribute</w:t>
            </w:r>
          </w:p>
        </w:tc>
        <w:tc>
          <w:tcPr>
            <w:tcW w:type="dxa" w:w="6200"/>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Domain</w:t>
            </w:r>
          </w:p>
        </w:tc>
        <w:tc>
          <w:tcPr>
            <w:tcW w:type="dxa" w:w="6200"/>
            <w:tcMar>
              <w:top w:type="dxa" w:w="80"/>
              <w:left w:type="dxa" w:w="100"/>
              <w:bottom w:type="dxa" w:w="80"/>
              <w:right w:type="dxa" w:w="100"/>
            </w:tcMar>
            <w:vAlign w:val="center"/>
          </w:tcPr>
          <w:p>
            <w:r>
              <w:rPr>
                <w:b w:val="false"/>
                <w:bCs w:val="false"/>
                <w:color w:val="000000"/>
                <w:sz w:val="19"/>
                <w:szCs w:val="19"/>
              </w:rPr>
              <w:t xml:space="preserve">indrive.com</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Registrar</w:t>
            </w:r>
          </w:p>
        </w:tc>
        <w:tc>
          <w:tcPr>
            <w:tcW w:type="dxa" w:w="6200"/>
            <w:tcMar>
              <w:top w:type="dxa" w:w="80"/>
              <w:left w:type="dxa" w:w="100"/>
              <w:bottom w:type="dxa" w:w="80"/>
              <w:right w:type="dxa" w:w="100"/>
            </w:tcMar>
            <w:vAlign w:val="center"/>
          </w:tcPr>
          <w:p>
            <w:r>
              <w:rPr>
                <w:b w:val="false"/>
                <w:bCs w:val="false"/>
                <w:color w:val="000000"/>
                <w:sz w:val="19"/>
                <w:szCs w:val="19"/>
              </w:rPr>
              <w:t xml:space="preserve">CSC Corporate Domains, Inc. (IANA ID: 299)</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Registrar Abuse Contact</w:t>
            </w:r>
          </w:p>
        </w:tc>
        <w:tc>
          <w:tcPr>
            <w:tcW w:type="dxa" w:w="6200"/>
            <w:tcMar>
              <w:top w:type="dxa" w:w="80"/>
              <w:left w:type="dxa" w:w="100"/>
              <w:bottom w:type="dxa" w:w="80"/>
              <w:right w:type="dxa" w:w="100"/>
            </w:tcMar>
            <w:vAlign w:val="center"/>
          </w:tcPr>
          <w:p>
            <w:r>
              <w:rPr>
                <w:b w:val="false"/>
                <w:bCs w:val="false"/>
                <w:color w:val="000000"/>
                <w:sz w:val="19"/>
                <w:szCs w:val="19"/>
              </w:rPr>
              <w:t xml:space="preserve">domainabuse@cscglobal.com / +1.8887802723</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Domain Created</w:t>
            </w:r>
          </w:p>
        </w:tc>
        <w:tc>
          <w:tcPr>
            <w:tcW w:type="dxa" w:w="6200"/>
            <w:tcMar>
              <w:top w:type="dxa" w:w="80"/>
              <w:left w:type="dxa" w:w="100"/>
              <w:bottom w:type="dxa" w:w="80"/>
              <w:right w:type="dxa" w:w="100"/>
            </w:tcMar>
            <w:vAlign w:val="center"/>
          </w:tcPr>
          <w:p>
            <w:r>
              <w:rPr>
                <w:b w:val="false"/>
                <w:bCs w:val="false"/>
                <w:color w:val="000000"/>
                <w:sz w:val="19"/>
                <w:szCs w:val="19"/>
              </w:rPr>
              <w:t xml:space="preserve">1998-04-08</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Domain Expires</w:t>
            </w:r>
          </w:p>
        </w:tc>
        <w:tc>
          <w:tcPr>
            <w:tcW w:type="dxa" w:w="6200"/>
            <w:tcMar>
              <w:top w:type="dxa" w:w="80"/>
              <w:left w:type="dxa" w:w="100"/>
              <w:bottom w:type="dxa" w:w="80"/>
              <w:right w:type="dxa" w:w="100"/>
            </w:tcMar>
            <w:vAlign w:val="center"/>
          </w:tcPr>
          <w:p>
            <w:r>
              <w:rPr>
                <w:b w:val="false"/>
                <w:bCs w:val="false"/>
                <w:color w:val="000000"/>
                <w:sz w:val="19"/>
                <w:szCs w:val="19"/>
              </w:rPr>
              <w:t xml:space="preserve">2027-04-07</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Last Updated</w:t>
            </w:r>
          </w:p>
        </w:tc>
        <w:tc>
          <w:tcPr>
            <w:tcW w:type="dxa" w:w="6200"/>
            <w:tcMar>
              <w:top w:type="dxa" w:w="80"/>
              <w:left w:type="dxa" w:w="100"/>
              <w:bottom w:type="dxa" w:w="80"/>
              <w:right w:type="dxa" w:w="100"/>
            </w:tcMar>
            <w:vAlign w:val="center"/>
          </w:tcPr>
          <w:p>
            <w:r>
              <w:rPr>
                <w:b w:val="false"/>
                <w:bCs w:val="false"/>
                <w:color w:val="000000"/>
                <w:sz w:val="19"/>
                <w:szCs w:val="19"/>
              </w:rPr>
              <w:t xml:space="preserve">2026-04-03</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Domain Status</w:t>
            </w:r>
          </w:p>
        </w:tc>
        <w:tc>
          <w:tcPr>
            <w:tcW w:type="dxa" w:w="6200"/>
            <w:tcMar>
              <w:top w:type="dxa" w:w="80"/>
              <w:left w:type="dxa" w:w="100"/>
              <w:bottom w:type="dxa" w:w="80"/>
              <w:right w:type="dxa" w:w="100"/>
            </w:tcMar>
            <w:vAlign w:val="center"/>
          </w:tcPr>
          <w:p>
            <w:r>
              <w:rPr>
                <w:b w:val="false"/>
                <w:bCs w:val="false"/>
                <w:color w:val="000000"/>
                <w:sz w:val="19"/>
                <w:szCs w:val="19"/>
              </w:rPr>
              <w:t xml:space="preserve">clientTransferProhibited</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DNSSEC</w:t>
            </w:r>
          </w:p>
        </w:tc>
        <w:tc>
          <w:tcPr>
            <w:tcW w:type="dxa" w:w="6200"/>
            <w:tcMar>
              <w:top w:type="dxa" w:w="80"/>
              <w:left w:type="dxa" w:w="100"/>
              <w:bottom w:type="dxa" w:w="80"/>
              <w:right w:type="dxa" w:w="100"/>
            </w:tcMar>
            <w:vAlign w:val="center"/>
          </w:tcPr>
          <w:p>
            <w:r>
              <w:rPr>
                <w:b w:val="false"/>
                <w:bCs w:val="false"/>
                <w:color w:val="000000"/>
                <w:sz w:val="19"/>
                <w:szCs w:val="19"/>
              </w:rPr>
              <w:t xml:space="preserve">unsigned</w:t>
            </w:r>
          </w:p>
        </w:tc>
      </w:tr>
    </w:tbl>
    <w:p>
      <w:pPr>
        <w:spacing w:after="80" w:before="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i/>
          <w:iCs/>
          <w:color w:val="555555"/>
          <w:sz w:val="18"/>
          <w:szCs w:val="18"/>
        </w:rPr>
        <w:t xml:space="preserve">Figure 1.1 — WHOIS lookup (web-based) showing domain registration details for indrive.com.</w:t>
      </w:r>
    </w:p>
    <w:p>
      <w:pPr>
        <w:spacing w:after="80" w:before="200"/>
        <w:jc w:val="center"/>
      </w:pPr>
      <w:r>
        <w:drawing>
          <wp:inline distT="0" distB="0" distL="0" distR="0">
            <wp:extent cx="5334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38425"/>
                    </a:xfrm>
                    <a:prstGeom prst="rect">
                      <a:avLst/>
                    </a:prstGeom>
                  </pic:spPr>
                </pic:pic>
              </a:graphicData>
            </a:graphic>
          </wp:inline>
        </w:drawing>
      </w:r>
    </w:p>
    <w:p>
      <w:pPr>
        <w:spacing w:after="200"/>
        <w:jc w:val="center"/>
      </w:pPr>
      <w:r>
        <w:rPr>
          <w:i/>
          <w:iCs/>
          <w:color w:val="555555"/>
          <w:sz w:val="18"/>
          <w:szCs w:val="18"/>
        </w:rPr>
        <w:t xml:space="preserve">Figure 1.2 — WHOIS registrant contact and registrar information (SUOL Innovations Ltd / CSC Corporate Domains).</w:t>
      </w:r>
    </w:p>
    <w:p>
      <w:pPr>
        <w:pStyle w:val="Heading2"/>
        <w:spacing w:after="150" w:before="300"/>
      </w:pPr>
      <w:r>
        <w:t xml:space="preserve">1.3 Hosting Provider &amp; IP Ownership (ASN)</w:t>
      </w:r>
    </w:p>
    <w:p>
      <w:pPr>
        <w:spacing w:after="150"/>
      </w:pPr>
      <w:r>
        <w:t xml:space="preserve">The A records for indrive.com resolve to Amazon CloudFront IP space. An ARIN WHOIS lookup on one of the resolved addresses confirms the block is allocated to Amazon.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Attribute</w:t>
            </w:r>
          </w:p>
        </w:tc>
        <w:tc>
          <w:tcPr>
            <w:tcW w:type="dxa" w:w="6200"/>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Hosting / CDN Provider</w:t>
            </w:r>
          </w:p>
        </w:tc>
        <w:tc>
          <w:tcPr>
            <w:tcW w:type="dxa" w:w="6200"/>
            <w:tcMar>
              <w:top w:type="dxa" w:w="80"/>
              <w:left w:type="dxa" w:w="100"/>
              <w:bottom w:type="dxa" w:w="80"/>
              <w:right w:type="dxa" w:w="100"/>
            </w:tcMar>
            <w:vAlign w:val="center"/>
          </w:tcPr>
          <w:p>
            <w:r>
              <w:rPr>
                <w:b w:val="false"/>
                <w:bCs w:val="false"/>
                <w:color w:val="000000"/>
                <w:sz w:val="19"/>
                <w:szCs w:val="19"/>
              </w:rPr>
              <w:t xml:space="preserve">Amazon Web Services — Amazon CloudFront</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ASN</w:t>
            </w:r>
          </w:p>
        </w:tc>
        <w:tc>
          <w:tcPr>
            <w:tcW w:type="dxa" w:w="6200"/>
            <w:tcMar>
              <w:top w:type="dxa" w:w="80"/>
              <w:left w:type="dxa" w:w="100"/>
              <w:bottom w:type="dxa" w:w="80"/>
              <w:right w:type="dxa" w:w="100"/>
            </w:tcMar>
            <w:vAlign w:val="center"/>
          </w:tcPr>
          <w:p>
            <w:r>
              <w:rPr>
                <w:b w:val="false"/>
                <w:bCs w:val="false"/>
                <w:color w:val="000000"/>
                <w:sz w:val="19"/>
                <w:szCs w:val="19"/>
              </w:rPr>
              <w:t xml:space="preserve">AS16509 (AMAZON-02, Amazon.com, Inc.)</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Relevant Netblock (CloudFront)</w:t>
            </w:r>
          </w:p>
        </w:tc>
        <w:tc>
          <w:tcPr>
            <w:tcW w:type="dxa" w:w="6200"/>
            <w:tcMar>
              <w:top w:type="dxa" w:w="80"/>
              <w:left w:type="dxa" w:w="100"/>
              <w:bottom w:type="dxa" w:w="80"/>
              <w:right w:type="dxa" w:w="100"/>
            </w:tcMar>
            <w:vAlign w:val="center"/>
          </w:tcPr>
          <w:p>
            <w:r>
              <w:rPr>
                <w:b w:val="false"/>
                <w:bCs w:val="false"/>
                <w:color w:val="000000"/>
                <w:sz w:val="19"/>
                <w:szCs w:val="19"/>
              </w:rPr>
              <w:t xml:space="preserve">3.160.0.0/14 (NetName: AMAZON-CF)</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Parent Allocation</w:t>
            </w:r>
          </w:p>
        </w:tc>
        <w:tc>
          <w:tcPr>
            <w:tcW w:type="dxa" w:w="6200"/>
            <w:tcMar>
              <w:top w:type="dxa" w:w="80"/>
              <w:left w:type="dxa" w:w="100"/>
              <w:bottom w:type="dxa" w:w="80"/>
              <w:right w:type="dxa" w:w="100"/>
            </w:tcMar>
            <w:vAlign w:val="center"/>
          </w:tcPr>
          <w:p>
            <w:r>
              <w:rPr>
                <w:b w:val="false"/>
                <w:bCs w:val="false"/>
                <w:color w:val="000000"/>
                <w:sz w:val="19"/>
                <w:szCs w:val="19"/>
              </w:rPr>
              <w:t xml:space="preserve">3.128.0.0/9 (AT-88-Z, Amazon Technologies Inc.)</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Abuse Contact</w:t>
            </w:r>
          </w:p>
        </w:tc>
        <w:tc>
          <w:tcPr>
            <w:tcW w:type="dxa" w:w="6200"/>
            <w:tcMar>
              <w:top w:type="dxa" w:w="80"/>
              <w:left w:type="dxa" w:w="100"/>
              <w:bottom w:type="dxa" w:w="80"/>
              <w:right w:type="dxa" w:w="100"/>
            </w:tcMar>
            <w:vAlign w:val="center"/>
          </w:tcPr>
          <w:p>
            <w:r>
              <w:rPr>
                <w:b w:val="false"/>
                <w:bCs w:val="false"/>
                <w:color w:val="000000"/>
                <w:sz w:val="19"/>
                <w:szCs w:val="19"/>
              </w:rPr>
              <w:t xml:space="preserve">trustandsafety@support.aws.com</w:t>
            </w:r>
          </w:p>
        </w:tc>
      </w:tr>
    </w:tbl>
    <w:p>
      <w:pPr>
        <w:spacing w:after="80" w:before="20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52675"/>
                    </a:xfrm>
                    <a:prstGeom prst="rect">
                      <a:avLst/>
                    </a:prstGeom>
                  </pic:spPr>
                </pic:pic>
              </a:graphicData>
            </a:graphic>
          </wp:inline>
        </w:drawing>
      </w:r>
    </w:p>
    <w:p>
      <w:pPr>
        <w:spacing w:after="200"/>
        <w:jc w:val="center"/>
      </w:pPr>
      <w:r>
        <w:rPr>
          <w:i/>
          <w:iCs/>
          <w:color w:val="555555"/>
          <w:sz w:val="18"/>
          <w:szCs w:val="18"/>
        </w:rPr>
        <w:t xml:space="preserve">Figure 1.3 — ARIN WHOIS for the resolved IP 3.162.140.5, confirming the parent Amazon allocation (3.128.0.0/9, AT-88-Z).</w:t>
      </w:r>
    </w:p>
    <w:p>
      <w:pPr>
        <w:spacing w:after="80" w:before="200"/>
        <w:jc w:val="center"/>
      </w:pPr>
      <w:r>
        <w:drawing>
          <wp:inline distT="0" distB="0" distL="0" distR="0">
            <wp:extent cx="5334000" cy="578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781675"/>
                    </a:xfrm>
                    <a:prstGeom prst="rect">
                      <a:avLst/>
                    </a:prstGeom>
                  </pic:spPr>
                </pic:pic>
              </a:graphicData>
            </a:graphic>
          </wp:inline>
        </w:drawing>
      </w:r>
    </w:p>
    <w:p>
      <w:pPr>
        <w:spacing w:after="200"/>
        <w:jc w:val="center"/>
      </w:pPr>
      <w:r>
        <w:rPr>
          <w:i/>
          <w:iCs/>
          <w:color w:val="555555"/>
          <w:sz w:val="18"/>
          <w:szCs w:val="18"/>
        </w:rPr>
        <w:t xml:space="preserve">Figure 1.4 — ARIN WHOIS detail for the CloudFront netblock 3.160.0.0/14 (AMAZON-CF), owned by Amazon.com, Inc.</w:t>
      </w:r>
    </w:p>
    <w:p>
      <w:pPr>
        <w:pStyle w:val="Heading2"/>
        <w:spacing w:after="150" w:before="300"/>
      </w:pPr>
      <w:r>
        <w:t xml:space="preserve">1.4 Nameservers</w:t>
      </w:r>
    </w:p>
    <w:p>
      <w:pPr>
        <w:spacing w:after="150"/>
      </w:pPr>
      <w:r>
        <w:t xml:space="preserve">indrive.com is delegated to four AWS Route 53 nameservers, confirming DNS management is hosted on AWS:</w:t>
      </w:r>
    </w:p>
    <w:p>
      <w:pPr>
        <w:pStyle w:val="ListParagraph"/>
        <w:numPr>
          <w:ilvl w:val="0"/>
          <w:numId w:val="2"/>
        </w:numPr>
        <w:spacing w:after="80"/>
      </w:pPr>
      <w:r>
        <w:t xml:space="preserve">ns-1301.awsdns-34.org</w:t>
      </w:r>
    </w:p>
    <w:p>
      <w:pPr>
        <w:pStyle w:val="ListParagraph"/>
        <w:numPr>
          <w:ilvl w:val="0"/>
          <w:numId w:val="2"/>
        </w:numPr>
        <w:spacing w:after="80"/>
      </w:pPr>
      <w:r>
        <w:t xml:space="preserve">ns-1831.awsdns-36.co.uk</w:t>
      </w:r>
    </w:p>
    <w:p>
      <w:pPr>
        <w:pStyle w:val="ListParagraph"/>
        <w:numPr>
          <w:ilvl w:val="0"/>
          <w:numId w:val="2"/>
        </w:numPr>
        <w:spacing w:after="80"/>
      </w:pPr>
      <w:r>
        <w:t xml:space="preserve">ns-389.awsdns-48.com</w:t>
      </w:r>
    </w:p>
    <w:p>
      <w:pPr>
        <w:pStyle w:val="ListParagraph"/>
        <w:numPr>
          <w:ilvl w:val="0"/>
          <w:numId w:val="2"/>
        </w:numPr>
        <w:spacing w:after="80"/>
      </w:pPr>
      <w:r>
        <w:t xml:space="preserve">ns-694.awsdns-22.net</w:t>
      </w:r>
    </w:p>
    <w:p>
      <w:pPr>
        <w:pStyle w:val="Heading2"/>
        <w:spacing w:after="150" w:before="300"/>
      </w:pPr>
      <w:r>
        <w:t xml:space="preserve">1.5 SSL Certificate Information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vAlign w:val="center"/>
          </w:tcPr>
          <w:p>
            <w:r>
              <w:rPr>
                <w:b/>
                <w:bCs/>
                <w:color w:val="FFFFFF"/>
                <w:sz w:val="19"/>
                <w:szCs w:val="19"/>
              </w:rPr>
              <w:t xml:space="preserve">Attribute</w:t>
            </w:r>
          </w:p>
        </w:tc>
        <w:tc>
          <w:tcPr>
            <w:tcW w:type="dxa" w:w="6200"/>
            <w:shd w:fill="1F3864" w:val="clear"/>
            <w:tcMar>
              <w:top w:type="dxa" w:w="80"/>
              <w:left w:type="dxa" w:w="100"/>
              <w:bottom w:type="dxa" w:w="80"/>
              <w:right w:type="dxa" w:w="100"/>
            </w:tcMar>
            <w:vAlign w:val="center"/>
          </w:tcPr>
          <w:p>
            <w:r>
              <w:rPr>
                <w:b/>
                <w:bCs/>
                <w:color w:val="FFFFFF"/>
                <w:sz w:val="19"/>
                <w:szCs w:val="19"/>
              </w:rPr>
              <w:t xml:space="preserve">Detail</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Common Name (Subject)</w:t>
            </w:r>
          </w:p>
        </w:tc>
        <w:tc>
          <w:tcPr>
            <w:tcW w:type="dxa" w:w="6200"/>
            <w:tcMar>
              <w:top w:type="dxa" w:w="80"/>
              <w:left w:type="dxa" w:w="100"/>
              <w:bottom w:type="dxa" w:w="80"/>
              <w:right w:type="dxa" w:w="100"/>
            </w:tcMar>
            <w:vAlign w:val="center"/>
          </w:tcPr>
          <w:p>
            <w:r>
              <w:rPr>
                <w:b w:val="false"/>
                <w:bCs w:val="false"/>
                <w:color w:val="000000"/>
                <w:sz w:val="19"/>
                <w:szCs w:val="19"/>
              </w:rPr>
              <w:t xml:space="preserve">*.indrive.com (wildcard certificate)</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Issuer</w:t>
            </w:r>
          </w:p>
        </w:tc>
        <w:tc>
          <w:tcPr>
            <w:tcW w:type="dxa" w:w="6200"/>
            <w:tcMar>
              <w:top w:type="dxa" w:w="80"/>
              <w:left w:type="dxa" w:w="100"/>
              <w:bottom w:type="dxa" w:w="80"/>
              <w:right w:type="dxa" w:w="100"/>
            </w:tcMar>
            <w:vAlign w:val="center"/>
          </w:tcPr>
          <w:p>
            <w:r>
              <w:rPr>
                <w:b w:val="false"/>
                <w:bCs w:val="false"/>
                <w:color w:val="000000"/>
                <w:sz w:val="19"/>
                <w:szCs w:val="19"/>
              </w:rPr>
              <w:t xml:space="preserve">Amazon RSA 2048 M01</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Valid From</w:t>
            </w:r>
          </w:p>
        </w:tc>
        <w:tc>
          <w:tcPr>
            <w:tcW w:type="dxa" w:w="6200"/>
            <w:tcMar>
              <w:top w:type="dxa" w:w="80"/>
              <w:left w:type="dxa" w:w="100"/>
              <w:bottom w:type="dxa" w:w="80"/>
              <w:right w:type="dxa" w:w="100"/>
            </w:tcMar>
            <w:vAlign w:val="center"/>
          </w:tcPr>
          <w:p>
            <w:r>
              <w:rPr>
                <w:b w:val="false"/>
                <w:bCs w:val="false"/>
                <w:color w:val="000000"/>
                <w:sz w:val="19"/>
                <w:szCs w:val="19"/>
              </w:rPr>
              <w:t xml:space="preserve">28 April 2026</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Valid Until</w:t>
            </w:r>
          </w:p>
        </w:tc>
        <w:tc>
          <w:tcPr>
            <w:tcW w:type="dxa" w:w="6200"/>
            <w:tcMar>
              <w:top w:type="dxa" w:w="80"/>
              <w:left w:type="dxa" w:w="100"/>
              <w:bottom w:type="dxa" w:w="80"/>
              <w:right w:type="dxa" w:w="100"/>
            </w:tcMar>
            <w:vAlign w:val="center"/>
          </w:tcPr>
          <w:p>
            <w:r>
              <w:rPr>
                <w:b w:val="false"/>
                <w:bCs w:val="false"/>
                <w:color w:val="000000"/>
                <w:sz w:val="19"/>
                <w:szCs w:val="19"/>
              </w:rPr>
              <w:t xml:space="preserve">12 November 2026</w:t>
            </w:r>
          </w:p>
        </w:tc>
      </w:tr>
      <w:tr>
        <w:tc>
          <w:tcPr>
            <w:tcW w:type="dxa" w:w="3200"/>
            <w:tcMar>
              <w:top w:type="dxa" w:w="80"/>
              <w:left w:type="dxa" w:w="100"/>
              <w:bottom w:type="dxa" w:w="80"/>
              <w:right w:type="dxa" w:w="100"/>
            </w:tcMar>
            <w:vAlign w:val="center"/>
          </w:tcPr>
          <w:p>
            <w:r>
              <w:rPr>
                <w:b w:val="false"/>
                <w:bCs w:val="false"/>
                <w:color w:val="000000"/>
                <w:sz w:val="19"/>
                <w:szCs w:val="19"/>
              </w:rPr>
              <w:t xml:space="preserve">Certificate Authority</w:t>
            </w:r>
          </w:p>
        </w:tc>
        <w:tc>
          <w:tcPr>
            <w:tcW w:type="dxa" w:w="6200"/>
            <w:tcMar>
              <w:top w:type="dxa" w:w="80"/>
              <w:left w:type="dxa" w:w="100"/>
              <w:bottom w:type="dxa" w:w="80"/>
              <w:right w:type="dxa" w:w="100"/>
            </w:tcMar>
            <w:vAlign w:val="center"/>
          </w:tcPr>
          <w:p>
            <w:r>
              <w:rPr>
                <w:b w:val="false"/>
                <w:bCs w:val="false"/>
                <w:color w:val="000000"/>
                <w:sz w:val="19"/>
                <w:szCs w:val="19"/>
              </w:rPr>
              <w:t xml:space="preserve">Amazon Trust Services (AWS Certificate Manager)</w:t>
            </w:r>
          </w:p>
        </w:tc>
      </w:tr>
    </w:tbl>
    <w:p>
      <w:pPr>
        <w:spacing w:after="80" w:before="200"/>
        <w:jc w:val="center"/>
      </w:pPr>
      <w:r>
        <w:drawing>
          <wp:inline distT="0" distB="0" distL="0" distR="0">
            <wp:extent cx="5334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143250"/>
                    </a:xfrm>
                    <a:prstGeom prst="rect">
                      <a:avLst/>
                    </a:prstGeom>
                  </pic:spPr>
                </pic:pic>
              </a:graphicData>
            </a:graphic>
          </wp:inline>
        </w:drawing>
      </w:r>
    </w:p>
    <w:p>
      <w:pPr>
        <w:spacing w:after="200"/>
        <w:jc w:val="center"/>
      </w:pPr>
      <w:r>
        <w:rPr>
          <w:i/>
          <w:iCs/>
          <w:color w:val="555555"/>
          <w:sz w:val="18"/>
          <w:szCs w:val="18"/>
        </w:rPr>
        <w:t xml:space="preserve">Figure 1.5 — Browser certificate viewer for indrive.com, showing a wildcard *.indrive.com certificate issued by Amazon RSA 2048 M01.</w:t>
      </w:r>
    </w:p>
    <w:p>
      <w:pPr>
        <w:pStyle w:val="Heading2"/>
        <w:spacing w:after="150" w:before="300"/>
      </w:pPr>
      <w:r>
        <w:t xml:space="preserve">1.6 Technologies Identified</w:t>
      </w:r>
    </w:p>
    <w:p>
      <w:pPr>
        <w:spacing w:after="150"/>
      </w:pPr>
      <w:r>
        <w:t xml:space="preserve">Passive fingerprinting (Wappalyzer, browser DevTools) of the main site identified the following stack:</w:t>
      </w:r>
    </w:p>
    <w:p>
      <w:pPr>
        <w:pStyle w:val="ListParagraph"/>
        <w:numPr>
          <w:ilvl w:val="0"/>
          <w:numId w:val="2"/>
        </w:numPr>
        <w:spacing w:after="80"/>
      </w:pPr>
      <w:r>
        <w:t xml:space="preserve">JavaScript framework: React, Next.js 15.5.18</w:t>
      </w:r>
    </w:p>
    <w:p>
      <w:pPr>
        <w:pStyle w:val="ListParagraph"/>
        <w:numPr>
          <w:ilvl w:val="0"/>
          <w:numId w:val="2"/>
        </w:numPr>
        <w:spacing w:after="80"/>
      </w:pPr>
      <w:r>
        <w:t xml:space="preserve">Web framework / SSR: Next.js 15.5.18</w:t>
      </w:r>
    </w:p>
    <w:p>
      <w:pPr>
        <w:pStyle w:val="ListParagraph"/>
        <w:numPr>
          <w:ilvl w:val="0"/>
          <w:numId w:val="2"/>
        </w:numPr>
        <w:spacing w:after="80"/>
      </w:pPr>
      <w:r>
        <w:t xml:space="preserve">Issue tracker: Sentry (client-side error tracking exposed in page source)</w:t>
      </w:r>
    </w:p>
    <w:p>
      <w:pPr>
        <w:pStyle w:val="ListParagraph"/>
        <w:numPr>
          <w:ilvl w:val="0"/>
          <w:numId w:val="2"/>
        </w:numPr>
        <w:spacing w:after="80"/>
      </w:pPr>
      <w:r>
        <w:t xml:space="preserve">Tag manager: Google Tag Manager</w:t>
      </w:r>
    </w:p>
    <w:p>
      <w:pPr>
        <w:pStyle w:val="ListParagraph"/>
        <w:numPr>
          <w:ilvl w:val="0"/>
          <w:numId w:val="2"/>
        </w:numPr>
        <w:spacing w:after="80"/>
      </w:pPr>
      <w:r>
        <w:t xml:space="preserve">Static site generator: Next.js</w:t>
      </w:r>
    </w:p>
    <w:p>
      <w:pPr>
        <w:pStyle w:val="ListParagraph"/>
        <w:numPr>
          <w:ilvl w:val="0"/>
          <w:numId w:val="2"/>
        </w:numPr>
        <w:spacing w:after="80"/>
      </w:pPr>
      <w:r>
        <w:t xml:space="preserve">JavaScript libraries: Keen-Slider</w:t>
      </w:r>
    </w:p>
    <w:p>
      <w:pPr>
        <w:pStyle w:val="ListParagraph"/>
        <w:numPr>
          <w:ilvl w:val="0"/>
          <w:numId w:val="2"/>
        </w:numPr>
        <w:spacing w:after="80"/>
      </w:pPr>
      <w:r>
        <w:t xml:space="preserve">PaaS / hosting: Amazon Web Services</w:t>
      </w:r>
    </w:p>
    <w:p>
      <w:pPr>
        <w:pStyle w:val="ListParagraph"/>
        <w:numPr>
          <w:ilvl w:val="0"/>
          <w:numId w:val="2"/>
        </w:numPr>
        <w:spacing w:after="80"/>
      </w:pPr>
      <w:r>
        <w:t xml:space="preserve">Reverse proxy: Envoy (Istio service mesh in front of several backend services)</w:t>
      </w:r>
    </w:p>
    <w:p>
      <w:pPr>
        <w:pStyle w:val="ListParagraph"/>
        <w:numPr>
          <w:ilvl w:val="0"/>
          <w:numId w:val="2"/>
        </w:numPr>
        <w:spacing w:after="80"/>
      </w:pPr>
      <w:r>
        <w:t xml:space="preserve">UI framework: Tailwind CSS</w:t>
      </w:r>
    </w:p>
    <w:p>
      <w:pPr>
        <w:pStyle w:val="ListParagraph"/>
        <w:numPr>
          <w:ilvl w:val="0"/>
          <w:numId w:val="2"/>
        </w:numPr>
        <w:spacing w:after="80"/>
      </w:pPr>
      <w:r>
        <w:t xml:space="preserve">CDN: Amazon CloudFront</w:t>
      </w:r>
    </w:p>
    <w:p>
      <w:pPr>
        <w:spacing w:after="80" w:before="200"/>
        <w:jc w:val="center"/>
      </w:pPr>
      <w:r>
        <w:drawing>
          <wp:inline distT="0" distB="0" distL="0" distR="0">
            <wp:extent cx="5334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52675"/>
                    </a:xfrm>
                    <a:prstGeom prst="rect">
                      <a:avLst/>
                    </a:prstGeom>
                  </pic:spPr>
                </pic:pic>
              </a:graphicData>
            </a:graphic>
          </wp:inline>
        </w:drawing>
      </w:r>
    </w:p>
    <w:p>
      <w:pPr>
        <w:spacing w:after="200"/>
        <w:jc w:val="center"/>
      </w:pPr>
      <w:r>
        <w:rPr>
          <w:i/>
          <w:iCs/>
          <w:color w:val="555555"/>
          <w:sz w:val="18"/>
          <w:szCs w:val="18"/>
        </w:rPr>
        <w:t xml:space="preserve">Figure 1.6 — Wappalyzer technology profile for indrive.com.</w:t>
      </w:r>
    </w:p>
    <w:p>
      <w:pPr>
        <w:pStyle w:val="Heading2"/>
        <w:spacing w:after="150" w:before="300"/>
      </w:pPr>
      <w:r>
        <w:t xml:space="preserve">1.7 Email Security Records (SPF / DKIM / DMARC)</w:t>
      </w:r>
    </w:p>
    <w:p>
      <w:pPr>
        <w:spacing w:after="150"/>
      </w:pPr>
      <w:r>
        <w:t xml:space="preserve">The domain TXT records show an SPF record authorizing Google Workspace, Amazon SES, Mandrill (Mailchimp Transactional), and Salesforce Marketing Cloud (zcsend.net) as legitimate senders, with a hard-fail policy:</w:t>
      </w:r>
    </w:p>
    <w:p>
      <w:pPr>
        <w:shd w:fill="1e1e1e" w:val="clear"/>
        <w:spacing w:after="0"/>
      </w:pPr>
      <w:r>
        <w:rPr>
          <w:rFonts w:ascii="Consolas" w:cs="Consolas" w:eastAsia="Consolas" w:hAnsi="Consolas"/>
          <w:color w:val="d4d4d4"/>
          <w:sz w:val="18"/>
          <w:szCs w:val="18"/>
        </w:rPr>
        <w:t xml:space="preserve">v=spf1 include:_spf.google.com include:spf.mandrillapp.com</w:t>
      </w:r>
    </w:p>
    <w:p>
      <w:pPr>
        <w:shd w:fill="1e1e1e" w:val="clear"/>
        <w:spacing w:after="0"/>
      </w:pPr>
      <w:r>
        <w:rPr>
          <w:rFonts w:ascii="Consolas" w:cs="Consolas" w:eastAsia="Consolas" w:hAnsi="Consolas"/>
          <w:color w:val="d4d4d4"/>
          <w:sz w:val="18"/>
          <w:szCs w:val="18"/>
        </w:rPr>
        <w:t xml:space="preserve">       include:_spf.salesforce.com include:amazonses.com</w:t>
      </w:r>
    </w:p>
    <w:p>
      <w:pPr>
        <w:shd w:fill="1e1e1e" w:val="clear"/>
        <w:spacing w:after="0"/>
      </w:pPr>
      <w:r>
        <w:rPr>
          <w:rFonts w:ascii="Consolas" w:cs="Consolas" w:eastAsia="Consolas" w:hAnsi="Consolas"/>
          <w:color w:val="d4d4d4"/>
          <w:sz w:val="18"/>
          <w:szCs w:val="18"/>
        </w:rPr>
        <w:t xml:space="preserve">       include:zcsend.net +a +mx -all</w:t>
      </w:r>
    </w:p>
    <w:p>
      <w:pPr>
        <w:spacing w:after="150"/>
      </w:pPr>
      <w:r>
        <w:t xml:space="preserve">No DKIM or DMARC selector records were captured directly in this assignment's DNS TXT dump; only the SPF record and third-party domain-verification tokens (Google Site Verification, Apple Domain Verification, Mandrill Verify) were visible. This is flagged as an item to verify further under Task 9, since the presence of SPF without a confirmed DMARC policy still leaves partial exposure to spoofing/phishing that impersonates the indrive.com domain.</w:t>
      </w:r>
    </w:p>
    <w:p>
      <w:pPr>
        <w:pStyle w:val="Heading1"/>
        <w:spacing w:after="200" w:before="400"/>
      </w:pPr>
      <w:r>
        <w:t xml:space="preserve">Task 2 — Advanced WHOIS &amp; DNS Enumeration</w:t>
      </w:r>
    </w:p>
    <w:p>
      <w:pPr>
        <w:spacing w:after="150"/>
      </w:pPr>
      <w:r>
        <w:t xml:space="preserve">Full DNS enumeration was performed with dig against indrive.com for all record types requested in the assignment brief.</w:t>
      </w:r>
    </w:p>
    <w:p>
      <w:pPr>
        <w:pStyle w:val="Heading2"/>
        <w:spacing w:after="150" w:before="300"/>
      </w:pPr>
      <w:r>
        <w:t xml:space="preserve">2.1 DNS Enumeration Table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Record</w:t>
            </w:r>
          </w:p>
        </w:tc>
        <w:tc>
          <w:tcPr>
            <w:tcW w:type="dxa" w:w="7600"/>
            <w:shd w:fill="1F3864" w:val="clear"/>
            <w:tcMar>
              <w:top w:type="dxa" w:w="80"/>
              <w:left w:type="dxa" w:w="100"/>
              <w:bottom w:type="dxa" w:w="80"/>
              <w:right w:type="dxa" w:w="100"/>
            </w:tcMar>
            <w:vAlign w:val="center"/>
          </w:tcPr>
          <w:p>
            <w:r>
              <w:rPr>
                <w:b/>
                <w:bCs/>
                <w:color w:val="FFFFFF"/>
                <w:sz w:val="19"/>
                <w:szCs w:val="19"/>
              </w:rPr>
              <w:t xml:space="preserve">Value(s)</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A</w:t>
            </w:r>
          </w:p>
        </w:tc>
        <w:tc>
          <w:tcPr>
            <w:tcW w:type="dxa" w:w="7600"/>
            <w:tcMar>
              <w:top w:type="dxa" w:w="80"/>
              <w:left w:type="dxa" w:w="100"/>
              <w:bottom w:type="dxa" w:w="80"/>
              <w:right w:type="dxa" w:w="100"/>
            </w:tcMar>
            <w:vAlign w:val="center"/>
          </w:tcPr>
          <w:p>
            <w:r>
              <w:rPr>
                <w:b w:val="false"/>
                <w:bCs w:val="false"/>
                <w:color w:val="000000"/>
                <w:sz w:val="19"/>
                <w:szCs w:val="19"/>
              </w:rPr>
              <w:t xml:space="preserve">13.224.236.22, 13.224.236.73, 13.224.236.112, 13.224.236.111</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AAAA</w:t>
            </w:r>
          </w:p>
        </w:tc>
        <w:tc>
          <w:tcPr>
            <w:tcW w:type="dxa" w:w="7600"/>
            <w:tcMar>
              <w:top w:type="dxa" w:w="80"/>
              <w:left w:type="dxa" w:w="100"/>
              <w:bottom w:type="dxa" w:w="80"/>
              <w:right w:type="dxa" w:w="100"/>
            </w:tcMar>
            <w:vAlign w:val="center"/>
          </w:tcPr>
          <w:p>
            <w:r>
              <w:rPr>
                <w:b w:val="false"/>
                <w:bCs w:val="false"/>
                <w:color w:val="000000"/>
                <w:sz w:val="19"/>
                <w:szCs w:val="19"/>
              </w:rPr>
              <w:t xml:space="preserve">None returned (no IPv6 configured for the apex domain)</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MX</w:t>
            </w:r>
          </w:p>
        </w:tc>
        <w:tc>
          <w:tcPr>
            <w:tcW w:type="dxa" w:w="7600"/>
            <w:tcMar>
              <w:top w:type="dxa" w:w="80"/>
              <w:left w:type="dxa" w:w="100"/>
              <w:bottom w:type="dxa" w:w="80"/>
              <w:right w:type="dxa" w:w="100"/>
            </w:tcMar>
            <w:vAlign w:val="center"/>
          </w:tcPr>
          <w:p>
            <w:r>
              <w:rPr>
                <w:b w:val="false"/>
                <w:bCs w:val="false"/>
                <w:color w:val="000000"/>
                <w:sz w:val="19"/>
                <w:szCs w:val="19"/>
              </w:rPr>
              <w:t xml:space="preserve">1 aspmx.l.google.com | 5 alt1.aspmx.l.google.com | 5 alt2.aspmx.l.google.com | 10 alt3.aspmx.l.google.com | 10 alt4.aspmx.l.google.com</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NS</w:t>
            </w:r>
          </w:p>
        </w:tc>
        <w:tc>
          <w:tcPr>
            <w:tcW w:type="dxa" w:w="7600"/>
            <w:tcMar>
              <w:top w:type="dxa" w:w="80"/>
              <w:left w:type="dxa" w:w="100"/>
              <w:bottom w:type="dxa" w:w="80"/>
              <w:right w:type="dxa" w:w="100"/>
            </w:tcMar>
            <w:vAlign w:val="center"/>
          </w:tcPr>
          <w:p>
            <w:r>
              <w:rPr>
                <w:b w:val="false"/>
                <w:bCs w:val="false"/>
                <w:color w:val="000000"/>
                <w:sz w:val="19"/>
                <w:szCs w:val="19"/>
              </w:rPr>
              <w:t xml:space="preserve">ns-1301.awsdns-34.org, ns-1831.awsdns-36.co.uk, ns-389.awsdns-48.com, ns-694.awsdns-22.net</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TXT</w:t>
            </w:r>
          </w:p>
        </w:tc>
        <w:tc>
          <w:tcPr>
            <w:tcW w:type="dxa" w:w="7600"/>
            <w:tcMar>
              <w:top w:type="dxa" w:w="80"/>
              <w:left w:type="dxa" w:w="100"/>
              <w:bottom w:type="dxa" w:w="80"/>
              <w:right w:type="dxa" w:w="100"/>
            </w:tcMar>
            <w:vAlign w:val="center"/>
          </w:tcPr>
          <w:p>
            <w:r>
              <w:rPr>
                <w:b w:val="false"/>
                <w:bCs w:val="false"/>
                <w:color w:val="000000"/>
                <w:sz w:val="19"/>
                <w:szCs w:val="19"/>
              </w:rPr>
              <w:t xml:space="preserve">SPF record; google-site-verification (x2); apple-domain-verification; mandrill_verify</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CNAME (www)</w:t>
            </w:r>
          </w:p>
        </w:tc>
        <w:tc>
          <w:tcPr>
            <w:tcW w:type="dxa" w:w="7600"/>
            <w:tcMar>
              <w:top w:type="dxa" w:w="80"/>
              <w:left w:type="dxa" w:w="100"/>
              <w:bottom w:type="dxa" w:w="80"/>
              <w:right w:type="dxa" w:w="100"/>
            </w:tcMar>
            <w:vAlign w:val="center"/>
          </w:tcPr>
          <w:p>
            <w:r>
              <w:rPr>
                <w:b w:val="false"/>
                <w:bCs w:val="false"/>
                <w:color w:val="000000"/>
                <w:sz w:val="19"/>
                <w:szCs w:val="19"/>
              </w:rPr>
              <w:t xml:space="preserve">www.indrive.com → indrive.com</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SOA</w:t>
            </w:r>
          </w:p>
        </w:tc>
        <w:tc>
          <w:tcPr>
            <w:tcW w:type="dxa" w:w="7600"/>
            <w:tcMar>
              <w:top w:type="dxa" w:w="80"/>
              <w:left w:type="dxa" w:w="100"/>
              <w:bottom w:type="dxa" w:w="80"/>
              <w:right w:type="dxa" w:w="100"/>
            </w:tcMar>
            <w:vAlign w:val="center"/>
          </w:tcPr>
          <w:p>
            <w:r>
              <w:rPr>
                <w:b w:val="false"/>
                <w:bCs w:val="false"/>
                <w:color w:val="000000"/>
                <w:sz w:val="19"/>
                <w:szCs w:val="19"/>
              </w:rPr>
              <w:t xml:space="preserve">ns-389.awsdns-48.com. awsdns-hostmaster.amazon.com. serial 1, refresh 7200, retry 900, expire 1209600, minimum 86400</w:t>
            </w:r>
          </w:p>
        </w:tc>
      </w:tr>
    </w:tbl>
    <w:p>
      <w:pPr>
        <w:spacing w:after="80" w:before="200"/>
        <w:jc w:val="center"/>
      </w:pPr>
      <w:r>
        <w:drawing>
          <wp:inline distT="0" distB="0" distL="0" distR="0">
            <wp:extent cx="53340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819775"/>
                    </a:xfrm>
                    <a:prstGeom prst="rect">
                      <a:avLst/>
                    </a:prstGeom>
                  </pic:spPr>
                </pic:pic>
              </a:graphicData>
            </a:graphic>
          </wp:inline>
        </w:drawing>
      </w:r>
    </w:p>
    <w:p>
      <w:pPr>
        <w:spacing w:after="200"/>
        <w:jc w:val="center"/>
      </w:pPr>
      <w:r>
        <w:rPr>
          <w:i/>
          <w:iCs/>
          <w:color w:val="555555"/>
          <w:sz w:val="18"/>
          <w:szCs w:val="18"/>
        </w:rPr>
        <w:t xml:space="preserve">Figure 2.1 — WHOIS record for indrive.com via terminal (whois indrive.com).</w:t>
      </w:r>
    </w:p>
    <w:p>
      <w:pPr>
        <w:spacing w:after="80" w:before="2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55555"/>
          <w:sz w:val="18"/>
          <w:szCs w:val="18"/>
        </w:rPr>
        <w:t xml:space="preserve">Figure 2.2 — dig A indrive.com +short.</w:t>
      </w:r>
    </w:p>
    <w:p>
      <w:pPr>
        <w:spacing w:after="80" w:before="20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67025"/>
                    </a:xfrm>
                    <a:prstGeom prst="rect">
                      <a:avLst/>
                    </a:prstGeom>
                  </pic:spPr>
                </pic:pic>
              </a:graphicData>
            </a:graphic>
          </wp:inline>
        </w:drawing>
      </w:r>
    </w:p>
    <w:p>
      <w:pPr>
        <w:spacing w:after="200"/>
        <w:jc w:val="center"/>
      </w:pPr>
      <w:r>
        <w:rPr>
          <w:i/>
          <w:iCs/>
          <w:color w:val="555555"/>
          <w:sz w:val="18"/>
          <w:szCs w:val="18"/>
        </w:rPr>
        <w:t xml:space="preserve">Figure 2.3 — dig AAAA / dig MX indrive.com +short.</w:t>
      </w:r>
    </w:p>
    <w:p>
      <w:pPr>
        <w:spacing w:after="80" w:before="200"/>
        <w:jc w:val="center"/>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895475"/>
                    </a:xfrm>
                    <a:prstGeom prst="rect">
                      <a:avLst/>
                    </a:prstGeom>
                  </pic:spPr>
                </pic:pic>
              </a:graphicData>
            </a:graphic>
          </wp:inline>
        </w:drawing>
      </w:r>
    </w:p>
    <w:p>
      <w:pPr>
        <w:spacing w:after="200"/>
        <w:jc w:val="center"/>
      </w:pPr>
      <w:r>
        <w:rPr>
          <w:i/>
          <w:iCs/>
          <w:color w:val="555555"/>
          <w:sz w:val="18"/>
          <w:szCs w:val="18"/>
        </w:rPr>
        <w:t xml:space="preserve">Figure 2.4 — dig NS indrive.com +short.</w:t>
      </w:r>
    </w:p>
    <w:p>
      <w:pPr>
        <w:spacing w:after="80" w:before="200"/>
        <w:jc w:val="center"/>
      </w:pPr>
      <w:r>
        <w:drawing>
          <wp:inline distT="0" distB="0" distL="0" distR="0">
            <wp:extent cx="5334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552450"/>
                    </a:xfrm>
                    <a:prstGeom prst="rect">
                      <a:avLst/>
                    </a:prstGeom>
                  </pic:spPr>
                </pic:pic>
              </a:graphicData>
            </a:graphic>
          </wp:inline>
        </w:drawing>
      </w:r>
    </w:p>
    <w:p>
      <w:pPr>
        <w:spacing w:after="200"/>
        <w:jc w:val="center"/>
      </w:pPr>
      <w:r>
        <w:rPr>
          <w:i/>
          <w:iCs/>
          <w:color w:val="555555"/>
          <w:sz w:val="18"/>
          <w:szCs w:val="18"/>
        </w:rPr>
        <w:t xml:space="preserve">Figure 2.5 — dig TXT indrive.com +short (SPF and domain-verification tokens).</w:t>
      </w:r>
    </w:p>
    <w:p>
      <w:pPr>
        <w:spacing w:after="80" w:before="200"/>
        <w:jc w:val="center"/>
      </w:pPr>
      <w:r>
        <w:drawing>
          <wp:inline distT="0" distB="0" distL="0" distR="0">
            <wp:extent cx="5334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933450"/>
                    </a:xfrm>
                    <a:prstGeom prst="rect">
                      <a:avLst/>
                    </a:prstGeom>
                  </pic:spPr>
                </pic:pic>
              </a:graphicData>
            </a:graphic>
          </wp:inline>
        </w:drawing>
      </w:r>
    </w:p>
    <w:p>
      <w:pPr>
        <w:spacing w:after="200"/>
        <w:jc w:val="center"/>
      </w:pPr>
      <w:r>
        <w:rPr>
          <w:i/>
          <w:iCs/>
          <w:color w:val="555555"/>
          <w:sz w:val="18"/>
          <w:szCs w:val="18"/>
        </w:rPr>
        <w:t xml:space="preserve">Figure 2.6 — dig CNAME www.indrive.com +short.</w:t>
      </w:r>
    </w:p>
    <w:p>
      <w:pPr>
        <w:spacing w:after="80" w:before="200"/>
        <w:jc w:val="center"/>
      </w:pPr>
      <w:r>
        <w:drawing>
          <wp:inline distT="0" distB="0" distL="0" distR="0">
            <wp:extent cx="53340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514350"/>
                    </a:xfrm>
                    <a:prstGeom prst="rect">
                      <a:avLst/>
                    </a:prstGeom>
                  </pic:spPr>
                </pic:pic>
              </a:graphicData>
            </a:graphic>
          </wp:inline>
        </w:drawing>
      </w:r>
    </w:p>
    <w:p>
      <w:pPr>
        <w:spacing w:after="200"/>
        <w:jc w:val="center"/>
      </w:pPr>
      <w:r>
        <w:rPr>
          <w:i/>
          <w:iCs/>
          <w:color w:val="555555"/>
          <w:sz w:val="18"/>
          <w:szCs w:val="18"/>
        </w:rPr>
        <w:t xml:space="preserve">Figure 2.7 — dig SOA indrive.com +short.</w:t>
      </w:r>
    </w:p>
    <w:p>
      <w:pPr>
        <w:pStyle w:val="Heading2"/>
        <w:spacing w:after="150" w:before="300"/>
      </w:pPr>
      <w:r>
        <w:t xml:space="preserve">2.2 Mail Provider</w:t>
      </w:r>
    </w:p>
    <w:p>
      <w:pPr>
        <w:spacing w:after="150"/>
      </w:pPr>
      <w:r>
        <w:t xml:space="preserve">MX records point exclusively to Google's aspmx.l.google.com mail-exchanger cluster, confirming indrive.com uses Google Workspace for corporate email.</w:t>
      </w:r>
    </w:p>
    <w:p>
      <w:pPr>
        <w:pStyle w:val="Heading2"/>
        <w:spacing w:after="150" w:before="300"/>
      </w:pPr>
      <w:r>
        <w:t xml:space="preserve">2.3 Email Security Assessment</w:t>
      </w:r>
    </w:p>
    <w:p>
      <w:pPr>
        <w:spacing w:after="150"/>
      </w:pPr>
      <w:r>
        <w:t xml:space="preserve">SPF is configured and correctly terminates with a hard-fail ("-all"), which is good practice. However, without confirmed DMARC and DKIM records in scope for this assessment, the domain's resistance to email spoofing cannot be fully verified from DNS alone and is listed as a follow-up item in Task 9.</w:t>
      </w:r>
    </w:p>
    <w:p>
      <w:pPr>
        <w:pStyle w:val="Heading1"/>
        <w:spacing w:after="200" w:before="400"/>
      </w:pPr>
      <w:r>
        <w:t xml:space="preserve">Task 3 — Google Dork Investigation</w:t>
      </w:r>
    </w:p>
    <w:p>
      <w:pPr>
        <w:spacing w:after="150"/>
      </w:pPr>
      <w:r>
        <w:t xml:space="preserve">Twenty Google Dork queries were designed against indrive.com to probe for publicly indexed documents, login/API surfaces, and accidentally exposed files. Screenshots were captured for the four queries that returned notable, security-relevant results; the remaining dorks are documented for completeness and returned no indexed results at the time of testing.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600"/>
        <w:gridCol w:w="2900"/>
        <w:gridCol w:w="1300"/>
      </w:tblGrid>
      <w:tr>
        <w:trPr>
          <w:tblHeader/>
        </w:trPr>
        <w:tc>
          <w:tcPr>
            <w:tcW w:type="dxa" w:w="400"/>
            <w:shd w:fill="1F3864" w:val="clear"/>
            <w:tcMar>
              <w:top w:type="dxa" w:w="80"/>
              <w:left w:type="dxa" w:w="100"/>
              <w:bottom w:type="dxa" w:w="80"/>
              <w:right w:type="dxa" w:w="100"/>
            </w:tcMar>
            <w:vAlign w:val="center"/>
          </w:tcPr>
          <w:p>
            <w:r>
              <w:rPr>
                <w:b/>
                <w:bCs/>
                <w:color w:val="FFFFFF"/>
                <w:sz w:val="19"/>
                <w:szCs w:val="19"/>
              </w:rPr>
              <w:t xml:space="preserve">#</w:t>
            </w:r>
          </w:p>
        </w:tc>
        <w:tc>
          <w:tcPr>
            <w:tcW w:type="dxa" w:w="2600"/>
            <w:shd w:fill="1F3864" w:val="clear"/>
            <w:tcMar>
              <w:top w:type="dxa" w:w="80"/>
              <w:left w:type="dxa" w:w="100"/>
              <w:bottom w:type="dxa" w:w="80"/>
              <w:right w:type="dxa" w:w="100"/>
            </w:tcMar>
            <w:vAlign w:val="center"/>
          </w:tcPr>
          <w:p>
            <w:r>
              <w:rPr>
                <w:b/>
                <w:bCs/>
                <w:color w:val="FFFFFF"/>
                <w:sz w:val="19"/>
                <w:szCs w:val="19"/>
              </w:rPr>
              <w:t xml:space="preserve">Dork Query</w:t>
            </w:r>
          </w:p>
        </w:tc>
        <w:tc>
          <w:tcPr>
            <w:tcW w:type="dxa" w:w="2600"/>
            <w:shd w:fill="1F3864" w:val="clear"/>
            <w:tcMar>
              <w:top w:type="dxa" w:w="80"/>
              <w:left w:type="dxa" w:w="100"/>
              <w:bottom w:type="dxa" w:w="80"/>
              <w:right w:type="dxa" w:w="100"/>
            </w:tcMar>
            <w:vAlign w:val="center"/>
          </w:tcPr>
          <w:p>
            <w:r>
              <w:rPr>
                <w:b/>
                <w:bCs/>
                <w:color w:val="FFFFFF"/>
                <w:sz w:val="19"/>
                <w:szCs w:val="19"/>
              </w:rPr>
              <w:t xml:space="preserve">Purpose</w:t>
            </w:r>
          </w:p>
        </w:tc>
        <w:tc>
          <w:tcPr>
            <w:tcW w:type="dxa" w:w="2900"/>
            <w:shd w:fill="1F3864" w:val="clear"/>
            <w:tcMar>
              <w:top w:type="dxa" w:w="80"/>
              <w:left w:type="dxa" w:w="100"/>
              <w:bottom w:type="dxa" w:w="80"/>
              <w:right w:type="dxa" w:w="100"/>
            </w:tcMar>
            <w:vAlign w:val="center"/>
          </w:tcPr>
          <w:p>
            <w:r>
              <w:rPr>
                <w:b/>
                <w:bCs/>
                <w:color w:val="FFFFFF"/>
                <w:sz w:val="19"/>
                <w:szCs w:val="19"/>
              </w:rPr>
              <w:t xml:space="preserve">Result Summary</w:t>
            </w:r>
          </w:p>
        </w:tc>
        <w:tc>
          <w:tcPr>
            <w:tcW w:type="dxa" w:w="1300"/>
            <w:shd w:fill="1F3864" w:val="clear"/>
            <w:tcMar>
              <w:top w:type="dxa" w:w="80"/>
              <w:left w:type="dxa" w:w="100"/>
              <w:bottom w:type="dxa" w:w="80"/>
              <w:right w:type="dxa" w:w="100"/>
            </w:tcMar>
            <w:vAlign w:val="center"/>
          </w:tcPr>
          <w:p>
            <w:r>
              <w:rPr>
                <w:b/>
                <w:bCs/>
                <w:color w:val="FFFFFF"/>
                <w:sz w:val="19"/>
                <w:szCs w:val="19"/>
              </w:rPr>
              <w:t xml:space="preserve">Evidence</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filetype:pdf</w:t>
            </w:r>
          </w:p>
        </w:tc>
        <w:tc>
          <w:tcPr>
            <w:tcW w:type="dxa" w:w="2600"/>
            <w:tcMar>
              <w:top w:type="dxa" w:w="80"/>
              <w:left w:type="dxa" w:w="100"/>
              <w:bottom w:type="dxa" w:w="80"/>
              <w:right w:type="dxa" w:w="100"/>
            </w:tcMar>
            <w:vAlign w:val="center"/>
          </w:tcPr>
          <w:p>
            <w:r>
              <w:rPr>
                <w:b w:val="false"/>
                <w:bCs w:val="false"/>
                <w:color w:val="000000"/>
                <w:sz w:val="19"/>
                <w:szCs w:val="19"/>
              </w:rPr>
              <w:t xml:space="preserve">Discover publicly indexed PDF documents (reports, manifests, policy docs).</w:t>
            </w:r>
          </w:p>
        </w:tc>
        <w:tc>
          <w:tcPr>
            <w:tcW w:type="dxa" w:w="2900"/>
            <w:tcMar>
              <w:top w:type="dxa" w:w="80"/>
              <w:left w:type="dxa" w:w="100"/>
              <w:bottom w:type="dxa" w:w="80"/>
              <w:right w:type="dxa" w:w="100"/>
            </w:tcMar>
            <w:vAlign w:val="center"/>
          </w:tcPr>
          <w:p>
            <w:r>
              <w:rPr>
                <w:b w:val="false"/>
                <w:bCs w:val="false"/>
                <w:color w:val="000000"/>
                <w:sz w:val="19"/>
                <w:szCs w:val="19"/>
              </w:rPr>
              <w:t xml:space="preserve">Found indexed PDFs incl. "Affordable Autonomous Mobility" manifest and a Transparency Report.</w:t>
            </w:r>
          </w:p>
        </w:tc>
        <w:tc>
          <w:tcPr>
            <w:tcW w:type="dxa" w:w="1300"/>
            <w:tcMar>
              <w:top w:type="dxa" w:w="80"/>
              <w:left w:type="dxa" w:w="100"/>
              <w:bottom w:type="dxa" w:w="80"/>
              <w:right w:type="dxa" w:w="100"/>
            </w:tcMar>
            <w:vAlign w:val="center"/>
          </w:tcPr>
          <w:p>
            <w:r>
              <w:rPr>
                <w:b w:val="false"/>
                <w:bCs w:val="false"/>
                <w:color w:val="000000"/>
                <w:sz w:val="19"/>
                <w:szCs w:val="19"/>
              </w:rPr>
              <w:t xml:space="preserve">Yes — Fig. 3.1</w:t>
            </w:r>
          </w:p>
        </w:tc>
      </w:tr>
      <w:tr>
        <w:tc>
          <w:tcPr>
            <w:tcW w:type="dxa" w:w="400"/>
            <w:tcMar>
              <w:top w:type="dxa" w:w="80"/>
              <w:left w:type="dxa" w:w="100"/>
              <w:bottom w:type="dxa" w:w="80"/>
              <w:right w:type="dxa" w:w="100"/>
            </w:tcMar>
            <w:vAlign w:val="center"/>
          </w:tcPr>
          <w:p>
            <w:r>
              <w:rPr>
                <w:b w:val="false"/>
                <w:bCs w:val="false"/>
                <w:color w:val="000000"/>
                <w:sz w:val="19"/>
                <w:szCs w:val="19"/>
              </w:rPr>
              <w:t xml:space="preserve">2</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"choose file" OR "upload"</w:t>
            </w:r>
          </w:p>
        </w:tc>
        <w:tc>
          <w:tcPr>
            <w:tcW w:type="dxa" w:w="2600"/>
            <w:tcMar>
              <w:top w:type="dxa" w:w="80"/>
              <w:left w:type="dxa" w:w="100"/>
              <w:bottom w:type="dxa" w:w="80"/>
              <w:right w:type="dxa" w:w="100"/>
            </w:tcMar>
            <w:vAlign w:val="center"/>
          </w:tcPr>
          <w:p>
            <w:r>
              <w:rPr>
                <w:b w:val="false"/>
                <w:bCs w:val="false"/>
                <w:color w:val="000000"/>
                <w:sz w:val="19"/>
                <w:szCs w:val="19"/>
              </w:rPr>
              <w:t xml:space="preserve">Locate pages that expose file-upload functionality (driver/vehicle document upload).</w:t>
            </w:r>
          </w:p>
        </w:tc>
        <w:tc>
          <w:tcPr>
            <w:tcW w:type="dxa" w:w="2900"/>
            <w:tcMar>
              <w:top w:type="dxa" w:w="80"/>
              <w:left w:type="dxa" w:w="100"/>
              <w:bottom w:type="dxa" w:w="80"/>
              <w:right w:type="dxa" w:w="100"/>
            </w:tcMar>
            <w:vAlign w:val="center"/>
          </w:tcPr>
          <w:p>
            <w:r>
              <w:rPr>
                <w:b w:val="false"/>
                <w:bCs w:val="false"/>
                <w:color w:val="000000"/>
                <w:sz w:val="19"/>
                <w:szCs w:val="19"/>
              </w:rPr>
              <w:t xml:space="preserve">Found driver-verification and support-form pages with file upload fields.</w:t>
            </w:r>
          </w:p>
        </w:tc>
        <w:tc>
          <w:tcPr>
            <w:tcW w:type="dxa" w:w="1300"/>
            <w:tcMar>
              <w:top w:type="dxa" w:w="80"/>
              <w:left w:type="dxa" w:w="100"/>
              <w:bottom w:type="dxa" w:w="80"/>
              <w:right w:type="dxa" w:w="100"/>
            </w:tcMar>
            <w:vAlign w:val="center"/>
          </w:tcPr>
          <w:p>
            <w:r>
              <w:rPr>
                <w:b w:val="false"/>
                <w:bCs w:val="false"/>
                <w:color w:val="000000"/>
                <w:sz w:val="19"/>
                <w:szCs w:val="19"/>
              </w:rPr>
              <w:t xml:space="preserve">Yes — Fig. 3.2</w:t>
            </w:r>
          </w:p>
        </w:tc>
      </w:tr>
      <w:tr>
        <w:tc>
          <w:tcPr>
            <w:tcW w:type="dxa" w:w="400"/>
            <w:tcMar>
              <w:top w:type="dxa" w:w="80"/>
              <w:left w:type="dxa" w:w="100"/>
              <w:bottom w:type="dxa" w:w="80"/>
              <w:right w:type="dxa" w:w="100"/>
            </w:tcMar>
            <w:vAlign w:val="center"/>
          </w:tcPr>
          <w:p>
            <w:r>
              <w:rPr>
                <w:b w:val="false"/>
                <w:bCs w:val="false"/>
                <w:color w:val="000000"/>
                <w:sz w:val="19"/>
                <w:szCs w:val="19"/>
              </w:rPr>
              <w:t xml:space="preserve">3</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inurl:login</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authentication / login-related pages.</w:t>
            </w:r>
          </w:p>
        </w:tc>
        <w:tc>
          <w:tcPr>
            <w:tcW w:type="dxa" w:w="2900"/>
            <w:tcMar>
              <w:top w:type="dxa" w:w="80"/>
              <w:left w:type="dxa" w:w="100"/>
              <w:bottom w:type="dxa" w:w="80"/>
              <w:right w:type="dxa" w:w="100"/>
            </w:tcMar>
            <w:vAlign w:val="center"/>
          </w:tcPr>
          <w:p>
            <w:r>
              <w:rPr>
                <w:b w:val="false"/>
                <w:bCs w:val="false"/>
                <w:color w:val="000000"/>
                <w:sz w:val="19"/>
                <w:szCs w:val="19"/>
              </w:rPr>
              <w:t xml:space="preserve">Returned legal-document pages referencing login credential security, not a dedicated portal.</w:t>
            </w:r>
          </w:p>
        </w:tc>
        <w:tc>
          <w:tcPr>
            <w:tcW w:type="dxa" w:w="1300"/>
            <w:tcMar>
              <w:top w:type="dxa" w:w="80"/>
              <w:left w:type="dxa" w:w="100"/>
              <w:bottom w:type="dxa" w:w="80"/>
              <w:right w:type="dxa" w:w="100"/>
            </w:tcMar>
            <w:vAlign w:val="center"/>
          </w:tcPr>
          <w:p>
            <w:r>
              <w:rPr>
                <w:b w:val="false"/>
                <w:bCs w:val="false"/>
                <w:color w:val="000000"/>
                <w:sz w:val="19"/>
                <w:szCs w:val="19"/>
              </w:rPr>
              <w:t xml:space="preserve">Yes — Fig. 3.3</w:t>
            </w:r>
          </w:p>
        </w:tc>
      </w:tr>
      <w:tr>
        <w:tc>
          <w:tcPr>
            <w:tcW w:type="dxa" w:w="400"/>
            <w:tcMar>
              <w:top w:type="dxa" w:w="80"/>
              <w:left w:type="dxa" w:w="100"/>
              <w:bottom w:type="dxa" w:w="80"/>
              <w:right w:type="dxa" w:w="100"/>
            </w:tcMar>
            <w:vAlign w:val="center"/>
          </w:tcPr>
          <w:p>
            <w:r>
              <w:rPr>
                <w:b w:val="false"/>
                <w:bCs w:val="false"/>
                <w:color w:val="000000"/>
                <w:sz w:val="19"/>
                <w:szCs w:val="19"/>
              </w:rPr>
              <w:t xml:space="preserve">4</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inurl:api</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API-related public pages or references.</w:t>
            </w:r>
          </w:p>
        </w:tc>
        <w:tc>
          <w:tcPr>
            <w:tcW w:type="dxa" w:w="2900"/>
            <w:tcMar>
              <w:top w:type="dxa" w:w="80"/>
              <w:left w:type="dxa" w:w="100"/>
              <w:bottom w:type="dxa" w:w="80"/>
              <w:right w:type="dxa" w:w="100"/>
            </w:tcMar>
            <w:vAlign w:val="center"/>
          </w:tcPr>
          <w:p>
            <w:r>
              <w:rPr>
                <w:b w:val="false"/>
                <w:bCs w:val="false"/>
                <w:color w:val="000000"/>
                <w:sz w:val="19"/>
                <w:szCs w:val="19"/>
              </w:rPr>
              <w:t xml:space="preserve">Returned the public url-checker tool page (url-checker.indrive.com) and the main earnings page.</w:t>
            </w:r>
          </w:p>
        </w:tc>
        <w:tc>
          <w:tcPr>
            <w:tcW w:type="dxa" w:w="1300"/>
            <w:tcMar>
              <w:top w:type="dxa" w:w="80"/>
              <w:left w:type="dxa" w:w="100"/>
              <w:bottom w:type="dxa" w:w="80"/>
              <w:right w:type="dxa" w:w="100"/>
            </w:tcMar>
            <w:vAlign w:val="center"/>
          </w:tcPr>
          <w:p>
            <w:r>
              <w:rPr>
                <w:b w:val="false"/>
                <w:bCs w:val="false"/>
                <w:color w:val="000000"/>
                <w:sz w:val="19"/>
                <w:szCs w:val="19"/>
              </w:rPr>
              <w:t xml:space="preserve">Yes — Fig. 3.4</w:t>
            </w:r>
          </w:p>
        </w:tc>
      </w:tr>
      <w:tr>
        <w:tc>
          <w:tcPr>
            <w:tcW w:type="dxa" w:w="400"/>
            <w:tcMar>
              <w:top w:type="dxa" w:w="80"/>
              <w:left w:type="dxa" w:w="100"/>
              <w:bottom w:type="dxa" w:w="80"/>
              <w:right w:type="dxa" w:w="100"/>
            </w:tcMar>
            <w:vAlign w:val="center"/>
          </w:tcPr>
          <w:p>
            <w:r>
              <w:rPr>
                <w:b w:val="false"/>
                <w:bCs w:val="false"/>
                <w:color w:val="000000"/>
                <w:sz w:val="19"/>
                <w:szCs w:val="19"/>
              </w:rPr>
              <w:t xml:space="preserve">5</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filetype:docx</w:t>
            </w:r>
          </w:p>
        </w:tc>
        <w:tc>
          <w:tcPr>
            <w:tcW w:type="dxa" w:w="2600"/>
            <w:tcMar>
              <w:top w:type="dxa" w:w="80"/>
              <w:left w:type="dxa" w:w="100"/>
              <w:bottom w:type="dxa" w:w="80"/>
              <w:right w:type="dxa" w:w="100"/>
            </w:tcMar>
            <w:vAlign w:val="center"/>
          </w:tcPr>
          <w:p>
            <w:r>
              <w:rPr>
                <w:b w:val="false"/>
                <w:bCs w:val="false"/>
                <w:color w:val="000000"/>
                <w:sz w:val="19"/>
                <w:szCs w:val="19"/>
              </w:rPr>
              <w:t xml:space="preserve">Search for exposed Word documents.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6</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filetype:xlsx</w:t>
            </w:r>
          </w:p>
        </w:tc>
        <w:tc>
          <w:tcPr>
            <w:tcW w:type="dxa" w:w="2600"/>
            <w:tcMar>
              <w:top w:type="dxa" w:w="80"/>
              <w:left w:type="dxa" w:w="100"/>
              <w:bottom w:type="dxa" w:w="80"/>
              <w:right w:type="dxa" w:w="100"/>
            </w:tcMar>
            <w:vAlign w:val="center"/>
          </w:tcPr>
          <w:p>
            <w:r>
              <w:rPr>
                <w:b w:val="false"/>
                <w:bCs w:val="false"/>
                <w:color w:val="000000"/>
                <w:sz w:val="19"/>
                <w:szCs w:val="19"/>
              </w:rPr>
              <w:t xml:space="preserve">Search for exposed spreadsheets (possible internal data leakage).</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7</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intitle:"index of"</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open/exposed directory listings.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8</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inurl:admin</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possible admin panel references.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9</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inurl:swagger</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exposed Swagger/OpenAPI documentation.</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10</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inurl:openapi</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exposed OpenAPI JSON/YAML specs.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11</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filetype:json</w:t>
            </w:r>
          </w:p>
        </w:tc>
        <w:tc>
          <w:tcPr>
            <w:tcW w:type="dxa" w:w="2600"/>
            <w:tcMar>
              <w:top w:type="dxa" w:w="80"/>
              <w:left w:type="dxa" w:w="100"/>
              <w:bottom w:type="dxa" w:w="80"/>
              <w:right w:type="dxa" w:w="100"/>
            </w:tcMar>
            <w:vAlign w:val="center"/>
          </w:tcPr>
          <w:p>
            <w:r>
              <w:rPr>
                <w:b w:val="false"/>
                <w:bCs w:val="false"/>
                <w:color w:val="000000"/>
                <w:sz w:val="19"/>
                <w:szCs w:val="19"/>
              </w:rPr>
              <w:t xml:space="preserve">Search for exposed configuration or data files.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12</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filetype:xml</w:t>
            </w:r>
          </w:p>
        </w:tc>
        <w:tc>
          <w:tcPr>
            <w:tcW w:type="dxa" w:w="2600"/>
            <w:tcMar>
              <w:top w:type="dxa" w:w="80"/>
              <w:left w:type="dxa" w:w="100"/>
              <w:bottom w:type="dxa" w:w="80"/>
              <w:right w:type="dxa" w:w="100"/>
            </w:tcMar>
            <w:vAlign w:val="center"/>
          </w:tcPr>
          <w:p>
            <w:r>
              <w:rPr>
                <w:b w:val="false"/>
                <w:bCs w:val="false"/>
                <w:color w:val="000000"/>
                <w:sz w:val="19"/>
                <w:szCs w:val="19"/>
              </w:rPr>
              <w:t xml:space="preserve">Search for exposed XML config/sitemap files.</w:t>
            </w:r>
          </w:p>
        </w:tc>
        <w:tc>
          <w:tcPr>
            <w:tcW w:type="dxa" w:w="2900"/>
            <w:tcMar>
              <w:top w:type="dxa" w:w="80"/>
              <w:left w:type="dxa" w:w="100"/>
              <w:bottom w:type="dxa" w:w="80"/>
              <w:right w:type="dxa" w:w="100"/>
            </w:tcMar>
            <w:vAlign w:val="center"/>
          </w:tcPr>
          <w:p>
            <w:r>
              <w:rPr>
                <w:b w:val="false"/>
                <w:bCs w:val="false"/>
                <w:color w:val="000000"/>
                <w:sz w:val="19"/>
                <w:szCs w:val="19"/>
              </w:rPr>
              <w:t xml:space="preserve">Sitemap-related XML references only; no sensitive config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13</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filetype:env</w:t>
            </w:r>
          </w:p>
        </w:tc>
        <w:tc>
          <w:tcPr>
            <w:tcW w:type="dxa" w:w="2600"/>
            <w:tcMar>
              <w:top w:type="dxa" w:w="80"/>
              <w:left w:type="dxa" w:w="100"/>
              <w:bottom w:type="dxa" w:w="80"/>
              <w:right w:type="dxa" w:w="100"/>
            </w:tcMar>
            <w:vAlign w:val="center"/>
          </w:tcPr>
          <w:p>
            <w:r>
              <w:rPr>
                <w:b w:val="false"/>
                <w:bCs w:val="false"/>
                <w:color w:val="000000"/>
                <w:sz w:val="19"/>
                <w:szCs w:val="19"/>
              </w:rPr>
              <w:t xml:space="preserve">Search for accidentally indexed environment files.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14</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filetype:log</w:t>
            </w:r>
          </w:p>
        </w:tc>
        <w:tc>
          <w:tcPr>
            <w:tcW w:type="dxa" w:w="2600"/>
            <w:tcMar>
              <w:top w:type="dxa" w:w="80"/>
              <w:left w:type="dxa" w:w="100"/>
              <w:bottom w:type="dxa" w:w="80"/>
              <w:right w:type="dxa" w:w="100"/>
            </w:tcMar>
            <w:vAlign w:val="center"/>
          </w:tcPr>
          <w:p>
            <w:r>
              <w:rPr>
                <w:b w:val="false"/>
                <w:bCs w:val="false"/>
                <w:color w:val="000000"/>
                <w:sz w:val="19"/>
                <w:szCs w:val="19"/>
              </w:rPr>
              <w:t xml:space="preserve">Search for exposed log files.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15</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inurl:backup</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possible exposed backup files.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16</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inurl:test</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test/staging pages left publicly indexed.</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17</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inurl:dev</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development-environment pages that may be indexed.</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 (matches earlier discovery that dev hosts are wildcard/internal, not indexed).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18</w:t>
            </w:r>
          </w:p>
        </w:tc>
        <w:tc>
          <w:tcPr>
            <w:tcW w:type="dxa" w:w="2600"/>
            <w:tcMar>
              <w:top w:type="dxa" w:w="80"/>
              <w:left w:type="dxa" w:w="100"/>
              <w:bottom w:type="dxa" w:w="80"/>
              <w:right w:type="dxa" w:w="100"/>
            </w:tcMar>
            <w:vAlign w:val="center"/>
          </w:tcPr>
          <w:p>
            <w:r>
              <w:rPr>
                <w:b w:val="false"/>
                <w:bCs w:val="false"/>
                <w:color w:val="000000"/>
                <w:sz w:val="19"/>
                <w:szCs w:val="19"/>
              </w:rPr>
              <w:t xml:space="preserve">site:indrive.com "internal use only"</w:t>
            </w:r>
          </w:p>
        </w:tc>
        <w:tc>
          <w:tcPr>
            <w:tcW w:type="dxa" w:w="2600"/>
            <w:tcMar>
              <w:top w:type="dxa" w:w="80"/>
              <w:left w:type="dxa" w:w="100"/>
              <w:bottom w:type="dxa" w:w="80"/>
              <w:right w:type="dxa" w:w="100"/>
            </w:tcMar>
            <w:vAlign w:val="center"/>
          </w:tcPr>
          <w:p>
            <w:r>
              <w:rPr>
                <w:b w:val="false"/>
                <w:bCs w:val="false"/>
                <w:color w:val="000000"/>
                <w:sz w:val="19"/>
                <w:szCs w:val="19"/>
              </w:rPr>
              <w:t xml:space="preserve">Identify accidentally-published internal documents.</w:t>
            </w:r>
          </w:p>
        </w:tc>
        <w:tc>
          <w:tcPr>
            <w:tcW w:type="dxa" w:w="2900"/>
            <w:tcMar>
              <w:top w:type="dxa" w:w="80"/>
              <w:left w:type="dxa" w:w="100"/>
              <w:bottom w:type="dxa" w:w="80"/>
              <w:right w:type="dxa" w:w="100"/>
            </w:tcMar>
            <w:vAlign w:val="center"/>
          </w:tcPr>
          <w:p>
            <w:r>
              <w:rPr>
                <w:b w:val="false"/>
                <w:bCs w:val="false"/>
                <w:color w:val="000000"/>
                <w:sz w:val="19"/>
                <w:szCs w:val="19"/>
              </w:rPr>
              <w:t xml:space="preserve">No indexed results found.</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19</w:t>
            </w:r>
          </w:p>
        </w:tc>
        <w:tc>
          <w:tcPr>
            <w:tcW w:type="dxa" w:w="2600"/>
            <w:tcMar>
              <w:top w:type="dxa" w:w="80"/>
              <w:left w:type="dxa" w:w="100"/>
              <w:bottom w:type="dxa" w:w="80"/>
              <w:right w:type="dxa" w:w="100"/>
            </w:tcMar>
            <w:vAlign w:val="center"/>
          </w:tcPr>
          <w:p>
            <w:r>
              <w:rPr>
                <w:b w:val="false"/>
                <w:bCs w:val="false"/>
                <w:color w:val="000000"/>
                <w:sz w:val="19"/>
                <w:szCs w:val="19"/>
              </w:rPr>
              <w:t xml:space="preserve">site:pastebin.com "indrive.com"</w:t>
            </w:r>
          </w:p>
        </w:tc>
        <w:tc>
          <w:tcPr>
            <w:tcW w:type="dxa" w:w="2600"/>
            <w:tcMar>
              <w:top w:type="dxa" w:w="80"/>
              <w:left w:type="dxa" w:w="100"/>
              <w:bottom w:type="dxa" w:w="80"/>
              <w:right w:type="dxa" w:w="100"/>
            </w:tcMar>
            <w:vAlign w:val="center"/>
          </w:tcPr>
          <w:p>
            <w:r>
              <w:rPr>
                <w:b w:val="false"/>
                <w:bCs w:val="false"/>
                <w:color w:val="000000"/>
                <w:sz w:val="19"/>
                <w:szCs w:val="19"/>
              </w:rPr>
              <w:t xml:space="preserve">Search third-party paste sites for leaked references to the domain.</w:t>
            </w:r>
          </w:p>
        </w:tc>
        <w:tc>
          <w:tcPr>
            <w:tcW w:type="dxa" w:w="2900"/>
            <w:tcMar>
              <w:top w:type="dxa" w:w="80"/>
              <w:left w:type="dxa" w:w="100"/>
              <w:bottom w:type="dxa" w:w="80"/>
              <w:right w:type="dxa" w:w="100"/>
            </w:tcMar>
            <w:vAlign w:val="center"/>
          </w:tcPr>
          <w:p>
            <w:r>
              <w:rPr>
                <w:b w:val="false"/>
                <w:bCs w:val="false"/>
                <w:color w:val="000000"/>
                <w:sz w:val="19"/>
                <w:szCs w:val="19"/>
              </w:rPr>
              <w:t xml:space="preserve">No results consulted for this assignment; recommended as a follow-up OSINT step.</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r>
        <w:tc>
          <w:tcPr>
            <w:tcW w:type="dxa" w:w="400"/>
            <w:tcMar>
              <w:top w:type="dxa" w:w="80"/>
              <w:left w:type="dxa" w:w="100"/>
              <w:bottom w:type="dxa" w:w="80"/>
              <w:right w:type="dxa" w:w="100"/>
            </w:tcMar>
            <w:vAlign w:val="center"/>
          </w:tcPr>
          <w:p>
            <w:r>
              <w:rPr>
                <w:b w:val="false"/>
                <w:bCs w:val="false"/>
                <w:color w:val="000000"/>
                <w:sz w:val="19"/>
                <w:szCs w:val="19"/>
              </w:rPr>
              <w:t xml:space="preserve">20</w:t>
            </w:r>
          </w:p>
        </w:tc>
        <w:tc>
          <w:tcPr>
            <w:tcW w:type="dxa" w:w="2600"/>
            <w:tcMar>
              <w:top w:type="dxa" w:w="80"/>
              <w:left w:type="dxa" w:w="100"/>
              <w:bottom w:type="dxa" w:w="80"/>
              <w:right w:type="dxa" w:w="100"/>
            </w:tcMar>
            <w:vAlign w:val="center"/>
          </w:tcPr>
          <w:p>
            <w:r>
              <w:rPr>
                <w:b w:val="false"/>
                <w:bCs w:val="false"/>
                <w:color w:val="000000"/>
                <w:sz w:val="19"/>
                <w:szCs w:val="19"/>
              </w:rPr>
              <w:t xml:space="preserve">site:github.com "indrive.com"</w:t>
            </w:r>
          </w:p>
        </w:tc>
        <w:tc>
          <w:tcPr>
            <w:tcW w:type="dxa" w:w="2600"/>
            <w:tcMar>
              <w:top w:type="dxa" w:w="80"/>
              <w:left w:type="dxa" w:w="100"/>
              <w:bottom w:type="dxa" w:w="80"/>
              <w:right w:type="dxa" w:w="100"/>
            </w:tcMar>
            <w:vAlign w:val="center"/>
          </w:tcPr>
          <w:p>
            <w:r>
              <w:rPr>
                <w:b w:val="false"/>
                <w:bCs w:val="false"/>
                <w:color w:val="000000"/>
                <w:sz w:val="19"/>
                <w:szCs w:val="19"/>
              </w:rPr>
              <w:t xml:space="preserve">Search public code repositories for hardcoded references to the domain (keys, endpoints).</w:t>
            </w:r>
          </w:p>
        </w:tc>
        <w:tc>
          <w:tcPr>
            <w:tcW w:type="dxa" w:w="2900"/>
            <w:tcMar>
              <w:top w:type="dxa" w:w="80"/>
              <w:left w:type="dxa" w:w="100"/>
              <w:bottom w:type="dxa" w:w="80"/>
              <w:right w:type="dxa" w:w="100"/>
            </w:tcMar>
            <w:vAlign w:val="center"/>
          </w:tcPr>
          <w:p>
            <w:r>
              <w:rPr>
                <w:b w:val="false"/>
                <w:bCs w:val="false"/>
                <w:color w:val="000000"/>
                <w:sz w:val="19"/>
                <w:szCs w:val="19"/>
              </w:rPr>
              <w:t xml:space="preserve">Not queried for this assignment; recommended as a follow-up OSINT step.</w:t>
            </w:r>
          </w:p>
        </w:tc>
        <w:tc>
          <w:tcPr>
            <w:tcW w:type="dxa" w:w="1300"/>
            <w:tcMar>
              <w:top w:type="dxa" w:w="80"/>
              <w:left w:type="dxa" w:w="100"/>
              <w:bottom w:type="dxa" w:w="80"/>
              <w:right w:type="dxa" w:w="100"/>
            </w:tcMar>
            <w:vAlign w:val="center"/>
          </w:tcPr>
          <w:p>
            <w:r>
              <w:rPr>
                <w:b w:val="false"/>
                <w:bCs w:val="false"/>
                <w:color w:val="000000"/>
                <w:sz w:val="19"/>
                <w:szCs w:val="19"/>
              </w:rPr>
              <w:t xml:space="preserve">No</w:t>
            </w:r>
          </w:p>
        </w:tc>
      </w:tr>
    </w:tbl>
    <w:p>
      <w:pPr>
        <w:spacing w:after="80" w:before="20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590800"/>
                    </a:xfrm>
                    <a:prstGeom prst="rect">
                      <a:avLst/>
                    </a:prstGeom>
                  </pic:spPr>
                </pic:pic>
              </a:graphicData>
            </a:graphic>
          </wp:inline>
        </w:drawing>
      </w:r>
    </w:p>
    <w:p>
      <w:pPr>
        <w:spacing w:after="200"/>
        <w:jc w:val="center"/>
      </w:pPr>
      <w:r>
        <w:rPr>
          <w:i/>
          <w:iCs/>
          <w:color w:val="555555"/>
          <w:sz w:val="18"/>
          <w:szCs w:val="18"/>
        </w:rPr>
        <w:t xml:space="preserve">Figure 3.1 — site:indrive.com filetype:pdf, showing publicly indexed PDF documents.</w:t>
      </w:r>
    </w:p>
    <w:p>
      <w:pPr>
        <w:spacing w:after="80" w:before="20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781300"/>
                    </a:xfrm>
                    <a:prstGeom prst="rect">
                      <a:avLst/>
                    </a:prstGeom>
                  </pic:spPr>
                </pic:pic>
              </a:graphicData>
            </a:graphic>
          </wp:inline>
        </w:drawing>
      </w:r>
    </w:p>
    <w:p>
      <w:pPr>
        <w:spacing w:after="200"/>
        <w:jc w:val="center"/>
      </w:pPr>
      <w:r>
        <w:rPr>
          <w:i/>
          <w:iCs/>
          <w:color w:val="555555"/>
          <w:sz w:val="18"/>
          <w:szCs w:val="18"/>
        </w:rPr>
        <w:t xml:space="preserve">Figure 3.2 — site:indrive.com "choose file" OR "upload", showing driver-document-upload help pages.</w:t>
      </w:r>
    </w:p>
    <w:p>
      <w:pPr>
        <w:spacing w:after="80" w:before="200"/>
        <w:jc w:val="center"/>
      </w:pPr>
      <w:r>
        <w:drawing>
          <wp:inline distT="0" distB="0" distL="0" distR="0">
            <wp:extent cx="53340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200275"/>
                    </a:xfrm>
                    <a:prstGeom prst="rect">
                      <a:avLst/>
                    </a:prstGeom>
                  </pic:spPr>
                </pic:pic>
              </a:graphicData>
            </a:graphic>
          </wp:inline>
        </w:drawing>
      </w:r>
    </w:p>
    <w:p>
      <w:pPr>
        <w:spacing w:after="200"/>
        <w:jc w:val="center"/>
      </w:pPr>
      <w:r>
        <w:rPr>
          <w:i/>
          <w:iCs/>
          <w:color w:val="555555"/>
          <w:sz w:val="18"/>
          <w:szCs w:val="18"/>
        </w:rPr>
        <w:t xml:space="preserve">Figure 3.3 — site:indrive.com inurl:login, showing legal/login-related pages.</w:t>
      </w:r>
    </w:p>
    <w:p>
      <w:pPr>
        <w:spacing w:after="80" w:before="2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55555"/>
          <w:sz w:val="18"/>
          <w:szCs w:val="18"/>
        </w:rPr>
        <w:t xml:space="preserve">Figure 3.4 — site:indrive.com inurl:api, showing the public URL-checker tool.</w:t>
      </w:r>
    </w:p>
    <w:p>
      <w:pPr>
        <w:pStyle w:val="Heading1"/>
        <w:spacing w:after="200" w:before="400"/>
      </w:pPr>
      <w:r>
        <w:t xml:space="preserve">Task 4 — Subdomain Enumeration</w:t>
      </w:r>
    </w:p>
    <w:p>
      <w:pPr>
        <w:spacing w:after="150"/>
      </w:pPr>
      <w:r>
        <w:t xml:space="preserve">Subdomain enumeration was performed using three independent tools — Assetfinder, OWASP Amass, and Subfinder — each querying different public data sources (certificate transparency logs, passive DNS, search engines, and third-party APIs). This cross-tool approach maximizes coverage, since no single source is complete.</w:t>
      </w:r>
    </w:p>
    <w:p>
      <w:pPr>
        <w:pStyle w:val="Heading2"/>
        <w:spacing w:after="150" w:before="300"/>
      </w:pPr>
      <w:r>
        <w:t xml:space="preserve">4.1 Tool Execution</w:t>
      </w:r>
    </w:p>
    <w:p>
      <w:pPr>
        <w:spacing w:after="80" w:before="20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1990725"/>
                    </a:xfrm>
                    <a:prstGeom prst="rect">
                      <a:avLst/>
                    </a:prstGeom>
                  </pic:spPr>
                </pic:pic>
              </a:graphicData>
            </a:graphic>
          </wp:inline>
        </w:drawing>
      </w:r>
    </w:p>
    <w:p>
      <w:pPr>
        <w:spacing w:after="200"/>
        <w:jc w:val="center"/>
      </w:pPr>
      <w:r>
        <w:rPr>
          <w:i/>
          <w:iCs/>
          <w:color w:val="555555"/>
          <w:sz w:val="18"/>
          <w:szCs w:val="18"/>
        </w:rPr>
        <w:t xml:space="preserve">Figure 4.1 — assetfinder --subs-only indrive.com &gt; assetfinder_subs.txt.</w:t>
      </w:r>
    </w:p>
    <w:p>
      <w:pPr>
        <w:spacing w:after="80" w:before="200"/>
        <w:jc w:val="center"/>
      </w:pPr>
      <w:r>
        <w:drawing>
          <wp:inline distT="0" distB="0" distL="0" distR="0">
            <wp:extent cx="53340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743325"/>
                    </a:xfrm>
                    <a:prstGeom prst="rect">
                      <a:avLst/>
                    </a:prstGeom>
                  </pic:spPr>
                </pic:pic>
              </a:graphicData>
            </a:graphic>
          </wp:inline>
        </w:drawing>
      </w:r>
    </w:p>
    <w:p>
      <w:pPr>
        <w:spacing w:after="200"/>
        <w:jc w:val="center"/>
      </w:pPr>
      <w:r>
        <w:rPr>
          <w:i/>
          <w:iCs/>
          <w:color w:val="555555"/>
          <w:sz w:val="18"/>
          <w:szCs w:val="18"/>
        </w:rPr>
        <w:t xml:space="preserve">Figure 4.2 — assetfinder output (continued) — subdomain list.</w:t>
      </w:r>
    </w:p>
    <w:p>
      <w:pPr>
        <w:spacing w:after="80" w:before="20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343275"/>
                    </a:xfrm>
                    <a:prstGeom prst="rect">
                      <a:avLst/>
                    </a:prstGeom>
                  </pic:spPr>
                </pic:pic>
              </a:graphicData>
            </a:graphic>
          </wp:inline>
        </w:drawing>
      </w:r>
    </w:p>
    <w:p>
      <w:pPr>
        <w:spacing w:after="200"/>
        <w:jc w:val="center"/>
      </w:pPr>
      <w:r>
        <w:rPr>
          <w:i/>
          <w:iCs/>
          <w:color w:val="555555"/>
          <w:sz w:val="18"/>
          <w:szCs w:val="18"/>
        </w:rPr>
        <w:t xml:space="preserve">Figure 4.3 — amass enum -d indrive.com -o amass_subs.txt, showing DNS relationships (CNAME/A/MX records) discovered during enumeration.</w:t>
      </w:r>
    </w:p>
    <w:p>
      <w:pPr>
        <w:spacing w:after="80" w:before="200"/>
        <w:jc w:val="center"/>
      </w:pPr>
      <w:r>
        <w:drawing>
          <wp:inline distT="0" distB="0" distL="0" distR="0">
            <wp:extent cx="533400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4495800"/>
                    </a:xfrm>
                    <a:prstGeom prst="rect">
                      <a:avLst/>
                    </a:prstGeom>
                  </pic:spPr>
                </pic:pic>
              </a:graphicData>
            </a:graphic>
          </wp:inline>
        </w:drawing>
      </w:r>
    </w:p>
    <w:p>
      <w:pPr>
        <w:spacing w:after="200"/>
        <w:jc w:val="center"/>
      </w:pPr>
      <w:r>
        <w:rPr>
          <w:i/>
          <w:iCs/>
          <w:color w:val="555555"/>
          <w:sz w:val="18"/>
          <w:szCs w:val="18"/>
        </w:rPr>
        <w:t xml:space="preserve">Figure 4.4 — subfinder -d indrive.com -o subfinder_subs.txt.</w:t>
      </w:r>
    </w:p>
    <w:p>
      <w:pPr>
        <w:pStyle w:val="Heading2"/>
        <w:spacing w:after="150" w:before="300"/>
      </w:pPr>
      <w:r>
        <w:t xml:space="preserve">4.2 Merged, Deduplicated &amp; Categorized Inventory</w:t>
      </w:r>
    </w:p>
    <w:p>
      <w:pPr>
        <w:spacing w:after="150"/>
      </w:pPr>
      <w:r>
        <w:t xml:space="preserve">After merging the three tool outputs and removing duplicates, over 70 unique indrive.com subdomains were identified — well above the 30-subdomain minimum required. They are grouped and categorized below, with a security-relevance justification for each category.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6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Subdomain(s)</w:t>
            </w:r>
          </w:p>
        </w:tc>
        <w:tc>
          <w:tcPr>
            <w:tcW w:type="dxa" w:w="16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4600"/>
            <w:shd w:fill="1F3864" w:val="clear"/>
            <w:tcMar>
              <w:top w:type="dxa" w:w="80"/>
              <w:left w:type="dxa" w:w="100"/>
              <w:bottom w:type="dxa" w:w="80"/>
              <w:right w:type="dxa" w:w="100"/>
            </w:tcMar>
            <w:vAlign w:val="center"/>
          </w:tcPr>
          <w:p>
            <w:r>
              <w:rPr>
                <w:b/>
                <w:bCs/>
                <w:color w:val="FFFFFF"/>
                <w:sz w:val="19"/>
                <w:szCs w:val="19"/>
              </w:rPr>
              <w:t xml:space="preserve">Why it is security-relevant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api.indrive.com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API</w:t>
            </w:r>
          </w:p>
        </w:tc>
        <w:tc>
          <w:tcPr>
            <w:tcW w:type="dxa" w:w="4600"/>
            <w:tcMar>
              <w:top w:type="dxa" w:w="80"/>
              <w:left w:type="dxa" w:w="100"/>
              <w:bottom w:type="dxa" w:w="80"/>
              <w:right w:type="dxa" w:w="100"/>
            </w:tcMar>
            <w:vAlign w:val="center"/>
          </w:tcPr>
          <w:p>
            <w:r>
              <w:rPr>
                <w:b w:val="false"/>
                <w:bCs w:val="false"/>
                <w:color w:val="000000"/>
                <w:sz w:val="19"/>
                <w:szCs w:val="19"/>
              </w:rPr>
              <w:t xml:space="preserve">Primary mobile/web API gateway — the highest-value target; any misconfiguration here (BOLA, parameter pollution) directly exposes user/driver data.</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url-checker.indrive.com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Internal Tool</w:t>
            </w:r>
          </w:p>
        </w:tc>
        <w:tc>
          <w:tcPr>
            <w:tcW w:type="dxa" w:w="4600"/>
            <w:tcMar>
              <w:top w:type="dxa" w:w="80"/>
              <w:left w:type="dxa" w:w="100"/>
              <w:bottom w:type="dxa" w:w="80"/>
              <w:right w:type="dxa" w:w="100"/>
            </w:tcMar>
            <w:vAlign w:val="center"/>
          </w:tcPr>
          <w:p>
            <w:r>
              <w:rPr>
                <w:b w:val="false"/>
                <w:bCs w:val="false"/>
                <w:color w:val="000000"/>
                <w:sz w:val="19"/>
                <w:szCs w:val="19"/>
              </w:rPr>
              <w:t xml:space="preserve">Custom internal utility exposed publicly; tools like this can leak infrastructure hostnames via their own output.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sgtm.indrive.com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Analytics/Tracking</w:t>
            </w:r>
          </w:p>
        </w:tc>
        <w:tc>
          <w:tcPr>
            <w:tcW w:type="dxa" w:w="4600"/>
            <w:tcMar>
              <w:top w:type="dxa" w:w="80"/>
              <w:left w:type="dxa" w:w="100"/>
              <w:bottom w:type="dxa" w:w="80"/>
              <w:right w:type="dxa" w:w="100"/>
            </w:tcMar>
            <w:vAlign w:val="center"/>
          </w:tcPr>
          <w:p>
            <w:r>
              <w:rPr>
                <w:b w:val="false"/>
                <w:bCs w:val="false"/>
                <w:color w:val="000000"/>
                <w:sz w:val="19"/>
                <w:szCs w:val="19"/>
              </w:rPr>
              <w:t xml:space="preserve">Server-side Google Tag Manager endpoint; misconfiguration can allow tracking-data tampering or SSRF via tag definitions.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inapps.indrive.com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Internal App Portal</w:t>
            </w:r>
          </w:p>
        </w:tc>
        <w:tc>
          <w:tcPr>
            <w:tcW w:type="dxa" w:w="4600"/>
            <w:tcMar>
              <w:top w:type="dxa" w:w="80"/>
              <w:left w:type="dxa" w:w="100"/>
              <w:bottom w:type="dxa" w:w="80"/>
              <w:right w:type="dxa" w:w="100"/>
            </w:tcMar>
            <w:vAlign w:val="center"/>
          </w:tcPr>
          <w:p>
            <w:r>
              <w:rPr>
                <w:b w:val="false"/>
                <w:bCs w:val="false"/>
                <w:color w:val="000000"/>
                <w:sz w:val="19"/>
                <w:szCs w:val="19"/>
              </w:rPr>
              <w:t xml:space="preserve">Internal application entry point; if reachable externally, may bypass intended network segmentation.</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wildcard.internal.dev.delivery.indrive.com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Development (Internal)</w:t>
            </w:r>
          </w:p>
        </w:tc>
        <w:tc>
          <w:tcPr>
            <w:tcW w:type="dxa" w:w="4600"/>
            <w:tcMar>
              <w:top w:type="dxa" w:w="80"/>
              <w:left w:type="dxa" w:w="100"/>
              <w:bottom w:type="dxa" w:w="80"/>
              <w:right w:type="dxa" w:w="100"/>
            </w:tcMar>
            <w:vAlign w:val="center"/>
          </w:tcPr>
          <w:p>
            <w:r>
              <w:rPr>
                <w:b w:val="false"/>
                <w:bCs w:val="false"/>
                <w:color w:val="000000"/>
                <w:sz w:val="19"/>
                <w:szCs w:val="19"/>
              </w:rPr>
              <w:t xml:space="preserve">Explicitly named 'internal.dev' — a strong signal of a non-production environment that may run outdated code or weaker auth.</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wildcard.delivery.indrive.com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Development / Staging</w:t>
            </w:r>
          </w:p>
        </w:tc>
        <w:tc>
          <w:tcPr>
            <w:tcW w:type="dxa" w:w="4600"/>
            <w:tcMar>
              <w:top w:type="dxa" w:w="80"/>
              <w:left w:type="dxa" w:w="100"/>
              <w:bottom w:type="dxa" w:w="80"/>
              <w:right w:type="dxa" w:w="100"/>
            </w:tcMar>
            <w:vAlign w:val="center"/>
          </w:tcPr>
          <w:p>
            <w:r>
              <w:rPr>
                <w:b w:val="false"/>
                <w:bCs w:val="false"/>
                <w:color w:val="000000"/>
                <w:sz w:val="19"/>
                <w:szCs w:val="19"/>
              </w:rPr>
              <w:t xml:space="preserve">Wildcard delivery-service host; wildcards can mask many undocumented sub-hosts.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qa.delivery.indrive.com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QA / Staging</w:t>
            </w:r>
          </w:p>
        </w:tc>
        <w:tc>
          <w:tcPr>
            <w:tcW w:type="dxa" w:w="4600"/>
            <w:tcMar>
              <w:top w:type="dxa" w:w="80"/>
              <w:left w:type="dxa" w:w="100"/>
              <w:bottom w:type="dxa" w:w="80"/>
              <w:right w:type="dxa" w:w="100"/>
            </w:tcMar>
            <w:vAlign w:val="center"/>
          </w:tcPr>
          <w:p>
            <w:r>
              <w:rPr>
                <w:b w:val="false"/>
                <w:bCs w:val="false"/>
                <w:color w:val="000000"/>
                <w:sz w:val="19"/>
                <w:szCs w:val="19"/>
              </w:rPr>
              <w:t xml:space="preserve">Quality-assurance environment; commonly has debug features enabled and weaker hardening than production.</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sandbox.delivery.indrive.com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Sandbox / Staging</w:t>
            </w:r>
          </w:p>
        </w:tc>
        <w:tc>
          <w:tcPr>
            <w:tcW w:type="dxa" w:w="4600"/>
            <w:tcMar>
              <w:top w:type="dxa" w:w="80"/>
              <w:left w:type="dxa" w:w="100"/>
              <w:bottom w:type="dxa" w:w="80"/>
              <w:right w:type="dxa" w:w="100"/>
            </w:tcMar>
            <w:vAlign w:val="center"/>
          </w:tcPr>
          <w:p>
            <w:r>
              <w:rPr>
                <w:b w:val="false"/>
                <w:bCs w:val="false"/>
                <w:color w:val="000000"/>
                <w:sz w:val="19"/>
                <w:szCs w:val="19"/>
              </w:rPr>
              <w:t xml:space="preserve">Sandbox environments frequently reuse production data or logic and are less monitored.</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inlab.indrive.com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Development / Lab</w:t>
            </w:r>
          </w:p>
        </w:tc>
        <w:tc>
          <w:tcPr>
            <w:tcW w:type="dxa" w:w="4600"/>
            <w:tcMar>
              <w:top w:type="dxa" w:w="80"/>
              <w:left w:type="dxa" w:w="100"/>
              <w:bottom w:type="dxa" w:w="80"/>
              <w:right w:type="dxa" w:w="100"/>
            </w:tcMar>
            <w:vAlign w:val="center"/>
          </w:tcPr>
          <w:p>
            <w:r>
              <w:rPr>
                <w:b w:val="false"/>
                <w:bCs w:val="false"/>
                <w:color w:val="000000"/>
                <w:sz w:val="19"/>
                <w:szCs w:val="19"/>
              </w:rPr>
              <w:t xml:space="preserve">Likely an internal R&amp;D/lab environment; a classic 'forgotten' asset that is easy to overlook in inventories.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sparklab.indrive.com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Development / Lab</w:t>
            </w:r>
          </w:p>
        </w:tc>
        <w:tc>
          <w:tcPr>
            <w:tcW w:type="dxa" w:w="4600"/>
            <w:tcMar>
              <w:top w:type="dxa" w:w="80"/>
              <w:left w:type="dxa" w:w="100"/>
              <w:bottom w:type="dxa" w:w="80"/>
              <w:right w:type="dxa" w:w="100"/>
            </w:tcMar>
            <w:vAlign w:val="center"/>
          </w:tcPr>
          <w:p>
            <w:r>
              <w:rPr>
                <w:b w:val="false"/>
                <w:bCs w:val="false"/>
                <w:color w:val="000000"/>
                <w:sz w:val="19"/>
                <w:szCs w:val="19"/>
              </w:rPr>
              <w:t xml:space="preserve">Similar to inlab — an innovation/lab subdomain that may run experimental, less-audited code.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dxy.indrive.com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Undetermined / Internal</w:t>
            </w:r>
          </w:p>
        </w:tc>
        <w:tc>
          <w:tcPr>
            <w:tcW w:type="dxa" w:w="4600"/>
            <w:tcMar>
              <w:top w:type="dxa" w:w="80"/>
              <w:left w:type="dxa" w:w="100"/>
              <w:bottom w:type="dxa" w:w="80"/>
              <w:right w:type="dxa" w:w="100"/>
            </w:tcMar>
            <w:vAlign w:val="center"/>
          </w:tcPr>
          <w:p>
            <w:r>
              <w:rPr>
                <w:b w:val="false"/>
                <w:bCs w:val="false"/>
                <w:color w:val="000000"/>
                <w:sz w:val="19"/>
                <w:szCs w:val="19"/>
              </w:rPr>
              <w:t xml:space="preserve">Short, non-descriptive hostname; warrants manual investigation to classify.</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ns2.indrive.com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Infrastructure / DNS</w:t>
            </w:r>
          </w:p>
        </w:tc>
        <w:tc>
          <w:tcPr>
            <w:tcW w:type="dxa" w:w="4600"/>
            <w:tcMar>
              <w:top w:type="dxa" w:w="80"/>
              <w:left w:type="dxa" w:w="100"/>
              <w:bottom w:type="dxa" w:w="80"/>
              <w:right w:type="dxa" w:w="100"/>
            </w:tcMar>
            <w:vAlign w:val="center"/>
          </w:tcPr>
          <w:p>
            <w:r>
              <w:rPr>
                <w:b w:val="false"/>
                <w:bCs w:val="false"/>
                <w:color w:val="000000"/>
                <w:sz w:val="19"/>
                <w:szCs w:val="19"/>
              </w:rPr>
              <w:t xml:space="preserve">Secondary DNS reference; infrastructure hostnames can reveal internal naming conventions.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hostmaster.indrive.com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Infrastructure / Mail</w:t>
            </w:r>
          </w:p>
        </w:tc>
        <w:tc>
          <w:tcPr>
            <w:tcW w:type="dxa" w:w="4600"/>
            <w:tcMar>
              <w:top w:type="dxa" w:w="80"/>
              <w:left w:type="dxa" w:w="100"/>
              <w:bottom w:type="dxa" w:w="80"/>
              <w:right w:type="dxa" w:w="100"/>
            </w:tcMar>
            <w:vAlign w:val="center"/>
          </w:tcPr>
          <w:p>
            <w:r>
              <w:rPr>
                <w:b w:val="false"/>
                <w:bCs w:val="false"/>
                <w:color w:val="000000"/>
                <w:sz w:val="19"/>
                <w:szCs w:val="19"/>
              </w:rPr>
              <w:t xml:space="preserve">DNS/SOA administrative contact host; typically not meant for public traffic.</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user-identification.invision.indrive.com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Identity / Admin</w:t>
            </w:r>
          </w:p>
        </w:tc>
        <w:tc>
          <w:tcPr>
            <w:tcW w:type="dxa" w:w="4600"/>
            <w:tcMar>
              <w:top w:type="dxa" w:w="80"/>
              <w:left w:type="dxa" w:w="100"/>
              <w:bottom w:type="dxa" w:w="80"/>
              <w:right w:type="dxa" w:w="100"/>
            </w:tcMar>
            <w:vAlign w:val="center"/>
          </w:tcPr>
          <w:p>
            <w:r>
              <w:rPr>
                <w:b w:val="false"/>
                <w:bCs w:val="false"/>
                <w:color w:val="000000"/>
                <w:sz w:val="19"/>
                <w:szCs w:val="19"/>
              </w:rPr>
              <w:t xml:space="preserve">Identity-verification service (used for KYC / driver ID checks) — handles sensitive PII.</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id.indrive.com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Identity / SSO</w:t>
            </w:r>
          </w:p>
        </w:tc>
        <w:tc>
          <w:tcPr>
            <w:tcW w:type="dxa" w:w="4600"/>
            <w:tcMar>
              <w:top w:type="dxa" w:w="80"/>
              <w:left w:type="dxa" w:w="100"/>
              <w:bottom w:type="dxa" w:w="80"/>
              <w:right w:type="dxa" w:w="100"/>
            </w:tcMar>
            <w:vAlign w:val="center"/>
          </w:tcPr>
          <w:p>
            <w:r>
              <w:rPr>
                <w:b w:val="false"/>
                <w:bCs w:val="false"/>
                <w:color w:val="000000"/>
                <w:sz w:val="19"/>
                <w:szCs w:val="19"/>
              </w:rPr>
              <w:t xml:space="preserve">Likely a central identity/login endpoint; high-value target for account-related testing.</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Storage (Amazon S3)</w:t>
            </w:r>
          </w:p>
        </w:tc>
        <w:tc>
          <w:tcPr>
            <w:tcW w:type="dxa" w:w="4600"/>
            <w:tcMar>
              <w:top w:type="dxa" w:w="80"/>
              <w:left w:type="dxa" w:w="100"/>
              <w:bottom w:type="dxa" w:w="80"/>
              <w:right w:type="dxa" w:w="100"/>
            </w:tcMar>
            <w:vAlign w:val="center"/>
          </w:tcPr>
          <w:p>
            <w:r>
              <w:rPr>
                <w:b w:val="false"/>
                <w:bCs w:val="false"/>
                <w:color w:val="000000"/>
                <w:sz w:val="19"/>
                <w:szCs w:val="19"/>
              </w:rPr>
              <w:t xml:space="preserve">Returns HTTP 401 from AmazonS3 — indicates an S3-backed asset; bucket policy should be reviewed for public exposure.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intercity.indrive.com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Web App</w:t>
            </w:r>
          </w:p>
        </w:tc>
        <w:tc>
          <w:tcPr>
            <w:tcW w:type="dxa" w:w="4600"/>
            <w:tcMar>
              <w:top w:type="dxa" w:w="80"/>
              <w:left w:type="dxa" w:w="100"/>
              <w:bottom w:type="dxa" w:w="80"/>
              <w:right w:type="dxa" w:w="100"/>
            </w:tcMar>
            <w:vAlign w:val="center"/>
          </w:tcPr>
          <w:p>
            <w:r>
              <w:rPr>
                <w:b w:val="false"/>
                <w:bCs w:val="false"/>
                <w:color w:val="000000"/>
                <w:sz w:val="19"/>
                <w:szCs w:val="19"/>
              </w:rPr>
              <w:t xml:space="preserve">Customer-facing 'City to City' product page — standard web application attack surface.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delivery-webview.indrive.com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Web App / Mobile Webview</w:t>
            </w:r>
          </w:p>
        </w:tc>
        <w:tc>
          <w:tcPr>
            <w:tcW w:type="dxa" w:w="4600"/>
            <w:tcMar>
              <w:top w:type="dxa" w:w="80"/>
              <w:left w:type="dxa" w:w="100"/>
              <w:bottom w:type="dxa" w:w="80"/>
              <w:right w:type="dxa" w:w="100"/>
            </w:tcMar>
            <w:vAlign w:val="center"/>
          </w:tcPr>
          <w:p>
            <w:r>
              <w:rPr>
                <w:b w:val="false"/>
                <w:bCs w:val="false"/>
                <w:color w:val="000000"/>
                <w:sz w:val="19"/>
                <w:szCs w:val="19"/>
              </w:rPr>
              <w:t xml:space="preserve">Webview endpoint embedded inside the mobile app; often has looser CSP/CORS than the main site.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couriers.indrive.com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Web App</w:t>
            </w:r>
          </w:p>
        </w:tc>
        <w:tc>
          <w:tcPr>
            <w:tcW w:type="dxa" w:w="4600"/>
            <w:tcMar>
              <w:top w:type="dxa" w:w="80"/>
              <w:left w:type="dxa" w:w="100"/>
              <w:bottom w:type="dxa" w:w="80"/>
              <w:right w:type="dxa" w:w="100"/>
            </w:tcMar>
            <w:vAlign w:val="center"/>
          </w:tcPr>
          <w:p>
            <w:r>
              <w:rPr>
                <w:b w:val="false"/>
                <w:bCs w:val="false"/>
                <w:color w:val="000000"/>
                <w:sz w:val="19"/>
                <w:szCs w:val="19"/>
              </w:rPr>
              <w:t xml:space="preserve">Courier-facing portal — another authentication surface tied to driver/courier accounts.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cargo.indrive.com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Web App</w:t>
            </w:r>
          </w:p>
        </w:tc>
        <w:tc>
          <w:tcPr>
            <w:tcW w:type="dxa" w:w="4600"/>
            <w:tcMar>
              <w:top w:type="dxa" w:w="80"/>
              <w:left w:type="dxa" w:w="100"/>
              <w:bottom w:type="dxa" w:w="80"/>
              <w:right w:type="dxa" w:w="100"/>
            </w:tcMar>
            <w:vAlign w:val="center"/>
          </w:tcPr>
          <w:p>
            <w:r>
              <w:rPr>
                <w:b w:val="false"/>
                <w:bCs w:val="false"/>
                <w:color w:val="000000"/>
                <w:sz w:val="19"/>
                <w:szCs w:val="19"/>
              </w:rPr>
              <w:t xml:space="preserve">Freight/cargo product page.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careers.indrive.com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 / HR</w:t>
            </w:r>
          </w:p>
        </w:tc>
        <w:tc>
          <w:tcPr>
            <w:tcW w:type="dxa" w:w="4600"/>
            <w:tcMar>
              <w:top w:type="dxa" w:w="80"/>
              <w:left w:type="dxa" w:w="100"/>
              <w:bottom w:type="dxa" w:w="80"/>
              <w:right w:type="dxa" w:w="100"/>
            </w:tcMar>
            <w:vAlign w:val="center"/>
          </w:tcPr>
          <w:p>
            <w:r>
              <w:rPr>
                <w:b w:val="false"/>
                <w:bCs w:val="false"/>
                <w:color w:val="000000"/>
                <w:sz w:val="19"/>
                <w:szCs w:val="19"/>
              </w:rPr>
              <w:t xml:space="preserve">Careers portal (Apache 2.4.58 on Ubuntu) — often integrates with third-party ATS systems that can leak candidate data.</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job.indrive.com / injob.indrive.com / rabota.indrive.com / empleo.indrive.com / yourpace.indrive.com / ventures.indrive.com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 / HR / Regional</w:t>
            </w:r>
          </w:p>
        </w:tc>
        <w:tc>
          <w:tcPr>
            <w:tcW w:type="dxa" w:w="4600"/>
            <w:tcMar>
              <w:top w:type="dxa" w:w="80"/>
              <w:left w:type="dxa" w:w="100"/>
              <w:bottom w:type="dxa" w:w="80"/>
              <w:right w:type="dxa" w:w="100"/>
            </w:tcMar>
            <w:vAlign w:val="center"/>
          </w:tcPr>
          <w:p>
            <w:r>
              <w:rPr>
                <w:b w:val="false"/>
                <w:bCs w:val="false"/>
                <w:color w:val="000000"/>
                <w:sz w:val="19"/>
                <w:szCs w:val="19"/>
              </w:rPr>
              <w:t xml:space="preserve">Multiple regional/localized recruiting subdomains — larger footprint of third-party HR integrations to review.</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company.indrive.com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w:t>
            </w:r>
          </w:p>
        </w:tc>
        <w:tc>
          <w:tcPr>
            <w:tcW w:type="dxa" w:w="4600"/>
            <w:tcMar>
              <w:top w:type="dxa" w:w="80"/>
              <w:left w:type="dxa" w:w="100"/>
              <w:bottom w:type="dxa" w:w="80"/>
              <w:right w:type="dxa" w:w="100"/>
            </w:tcMar>
            <w:vAlign w:val="center"/>
          </w:tcPr>
          <w:p>
            <w:r>
              <w:rPr>
                <w:b w:val="false"/>
                <w:bCs w:val="false"/>
                <w:color w:val="000000"/>
                <w:sz w:val="19"/>
                <w:szCs w:val="19"/>
              </w:rPr>
              <w:t xml:space="preserve">Corporate information page (WordPress/WebFlow) — CMS platforms are common targets for plugin-based attacks.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compliance.indrive.com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 / Legal</w:t>
            </w:r>
          </w:p>
        </w:tc>
        <w:tc>
          <w:tcPr>
            <w:tcW w:type="dxa" w:w="4600"/>
            <w:tcMar>
              <w:top w:type="dxa" w:w="80"/>
              <w:left w:type="dxa" w:w="100"/>
              <w:bottom w:type="dxa" w:w="80"/>
              <w:right w:type="dxa" w:w="100"/>
            </w:tcMar>
            <w:vAlign w:val="center"/>
          </w:tcPr>
          <w:p>
            <w:r>
              <w:rPr>
                <w:b w:val="false"/>
                <w:bCs w:val="false"/>
                <w:color w:val="000000"/>
                <w:sz w:val="19"/>
                <w:szCs w:val="19"/>
              </w:rPr>
              <w:t xml:space="preserve">Compliance &amp; integrity page — likely hosts policy documents relevant to Task 3's document search.</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handbook.indrive.com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 / HR</w:t>
            </w:r>
          </w:p>
        </w:tc>
        <w:tc>
          <w:tcPr>
            <w:tcW w:type="dxa" w:w="4600"/>
            <w:tcMar>
              <w:top w:type="dxa" w:w="80"/>
              <w:left w:type="dxa" w:w="100"/>
              <w:bottom w:type="dxa" w:w="80"/>
              <w:right w:type="dxa" w:w="100"/>
            </w:tcMar>
            <w:vAlign w:val="center"/>
          </w:tcPr>
          <w:p>
            <w:r>
              <w:rPr>
                <w:b w:val="false"/>
                <w:bCs w:val="false"/>
                <w:color w:val="000000"/>
                <w:sz w:val="19"/>
                <w:szCs w:val="19"/>
              </w:rPr>
              <w:t xml:space="preserve">Employee handbook portal — potential source of internal process/naming information.</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brand.indrive.com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 / Marketing</w:t>
            </w:r>
          </w:p>
        </w:tc>
        <w:tc>
          <w:tcPr>
            <w:tcW w:type="dxa" w:w="4600"/>
            <w:tcMar>
              <w:top w:type="dxa" w:w="80"/>
              <w:left w:type="dxa" w:w="100"/>
              <w:bottom w:type="dxa" w:w="80"/>
              <w:right w:type="dxa" w:w="100"/>
            </w:tcMar>
            <w:vAlign w:val="center"/>
          </w:tcPr>
          <w:p>
            <w:r>
              <w:rPr>
                <w:b w:val="false"/>
                <w:bCs w:val="false"/>
                <w:color w:val="000000"/>
                <w:sz w:val="19"/>
                <w:szCs w:val="19"/>
              </w:rPr>
              <w:t xml:space="preserve">Brand guideline assets; low risk but useful for social-engineering pretext research.</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blog.indrive.com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CMS / Marketing</w:t>
            </w:r>
          </w:p>
        </w:tc>
        <w:tc>
          <w:tcPr>
            <w:tcW w:type="dxa" w:w="4600"/>
            <w:tcMar>
              <w:top w:type="dxa" w:w="80"/>
              <w:left w:type="dxa" w:w="100"/>
              <w:bottom w:type="dxa" w:w="80"/>
              <w:right w:type="dxa" w:w="100"/>
            </w:tcMar>
            <w:vAlign w:val="center"/>
          </w:tcPr>
          <w:p>
            <w:r>
              <w:rPr>
                <w:b w:val="false"/>
                <w:bCs w:val="false"/>
                <w:color w:val="000000"/>
                <w:sz w:val="19"/>
                <w:szCs w:val="19"/>
              </w:rPr>
              <w:t xml:space="preserve">WordPress-based blog (PHP/MySQL) — a frequent target for outdated plugin/theme vulnerabilities.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landing.indrive.com / promotion.indrive.com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Marketing</w:t>
            </w:r>
          </w:p>
        </w:tc>
        <w:tc>
          <w:tcPr>
            <w:tcW w:type="dxa" w:w="4600"/>
            <w:tcMar>
              <w:top w:type="dxa" w:w="80"/>
              <w:left w:type="dxa" w:w="100"/>
              <w:bottom w:type="dxa" w:w="80"/>
              <w:right w:type="dxa" w:w="100"/>
            </w:tcMar>
            <w:vAlign w:val="center"/>
          </w:tcPr>
          <w:p>
            <w:r>
              <w:rPr>
                <w:b w:val="false"/>
                <w:bCs w:val="false"/>
                <w:color w:val="000000"/>
                <w:sz w:val="19"/>
                <w:szCs w:val="19"/>
              </w:rPr>
              <w:t xml:space="preserve">Campaign landing pages, often short-lived and less maintained than the core site.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media.indrive.com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Marketing / CDN</w:t>
            </w:r>
          </w:p>
        </w:tc>
        <w:tc>
          <w:tcPr>
            <w:tcW w:type="dxa" w:w="4600"/>
            <w:tcMar>
              <w:top w:type="dxa" w:w="80"/>
              <w:left w:type="dxa" w:w="100"/>
              <w:bottom w:type="dxa" w:w="80"/>
              <w:right w:type="dxa" w:w="100"/>
            </w:tcMar>
            <w:vAlign w:val="center"/>
          </w:tcPr>
          <w:p>
            <w:r>
              <w:rPr>
                <w:b w:val="false"/>
                <w:bCs w:val="false"/>
                <w:color w:val="000000"/>
                <w:sz w:val="19"/>
                <w:szCs w:val="19"/>
              </w:rPr>
              <w:t xml:space="preserve">Media asset host.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demo.indrive.com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Demo / Sales</w:t>
            </w:r>
          </w:p>
        </w:tc>
        <w:tc>
          <w:tcPr>
            <w:tcW w:type="dxa" w:w="4600"/>
            <w:tcMar>
              <w:top w:type="dxa" w:w="80"/>
              <w:left w:type="dxa" w:w="100"/>
              <w:bottom w:type="dxa" w:w="80"/>
              <w:right w:type="dxa" w:w="100"/>
            </w:tcMar>
            <w:vAlign w:val="center"/>
          </w:tcPr>
          <w:p>
            <w:r>
              <w:rPr>
                <w:b w:val="false"/>
                <w:bCs w:val="false"/>
                <w:color w:val="000000"/>
                <w:sz w:val="19"/>
                <w:szCs w:val="19"/>
              </w:rPr>
              <w:t xml:space="preserve">Product demo environment on Google Cloud — a non-standard hosting provider relative to the primary AWS footprint.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money.indrive.com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Fintech</w:t>
            </w:r>
          </w:p>
        </w:tc>
        <w:tc>
          <w:tcPr>
            <w:tcW w:type="dxa" w:w="4600"/>
            <w:tcMar>
              <w:top w:type="dxa" w:w="80"/>
              <w:left w:type="dxa" w:w="100"/>
              <w:bottom w:type="dxa" w:w="80"/>
              <w:right w:type="dxa" w:w="100"/>
            </w:tcMar>
            <w:vAlign w:val="center"/>
          </w:tcPr>
          <w:p>
            <w:r>
              <w:rPr>
                <w:b w:val="false"/>
                <w:bCs w:val="false"/>
                <w:color w:val="000000"/>
                <w:sz w:val="19"/>
                <w:szCs w:val="19"/>
              </w:rPr>
              <w:t xml:space="preserve">Payments/earnings-related subdomain — high sensitivity, handles financial data.</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pvz.indrive.com / bus.mx.indrive.com / bus.br.indrive.com / fr.indrive.com / us.indrive.com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Regional / Localized</w:t>
            </w:r>
          </w:p>
        </w:tc>
        <w:tc>
          <w:tcPr>
            <w:tcW w:type="dxa" w:w="4600"/>
            <w:tcMar>
              <w:top w:type="dxa" w:w="80"/>
              <w:left w:type="dxa" w:w="100"/>
              <w:bottom w:type="dxa" w:w="80"/>
              <w:right w:type="dxa" w:w="100"/>
            </w:tcMar>
            <w:vAlign w:val="center"/>
          </w:tcPr>
          <w:p>
            <w:r>
              <w:rPr>
                <w:b w:val="false"/>
                <w:bCs w:val="false"/>
                <w:color w:val="000000"/>
                <w:sz w:val="19"/>
                <w:szCs w:val="19"/>
              </w:rPr>
              <w:t xml:space="preserve">Country/region-specific deployments (Russian 'ПВЗ' pickup-point naming, Mexico, Brazil, France, US) — each is a separate attack surface with potentially different patch levels.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fairchoice.indrive.com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Trust &amp; Safety</w:t>
            </w:r>
          </w:p>
        </w:tc>
        <w:tc>
          <w:tcPr>
            <w:tcW w:type="dxa" w:w="4600"/>
            <w:tcMar>
              <w:top w:type="dxa" w:w="80"/>
              <w:left w:type="dxa" w:w="100"/>
              <w:bottom w:type="dxa" w:w="80"/>
              <w:right w:type="dxa" w:w="100"/>
            </w:tcMar>
            <w:vAlign w:val="center"/>
          </w:tcPr>
          <w:p>
            <w:r>
              <w:rPr>
                <w:b w:val="false"/>
                <w:bCs w:val="false"/>
                <w:color w:val="000000"/>
                <w:sz w:val="19"/>
                <w:szCs w:val="19"/>
              </w:rPr>
              <w:t xml:space="preserve">Fair-pricing/trust initiative microsite.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infaces.indrive.com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w:t>
            </w:r>
          </w:p>
        </w:tc>
        <w:tc>
          <w:tcPr>
            <w:tcW w:type="dxa" w:w="4600"/>
            <w:tcMar>
              <w:top w:type="dxa" w:w="80"/>
              <w:left w:type="dxa" w:w="100"/>
              <w:bottom w:type="dxa" w:w="80"/>
              <w:right w:type="dxa" w:w="100"/>
            </w:tcMar>
            <w:vAlign w:val="center"/>
          </w:tcPr>
          <w:p>
            <w:r>
              <w:rPr>
                <w:b w:val="false"/>
                <w:bCs w:val="false"/>
                <w:color w:val="000000"/>
                <w:sz w:val="19"/>
                <w:szCs w:val="19"/>
              </w:rPr>
              <w:t xml:space="preserve">'inFaces' feature site (Frontify-based design system).</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trustgame.indrive.com / greenseat.indrive.com / sharetrip.indrive.com / share.indrive.com / movie.indrive.com / book.indrive.com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Marketing / Campaign</w:t>
            </w:r>
          </w:p>
        </w:tc>
        <w:tc>
          <w:tcPr>
            <w:tcW w:type="dxa" w:w="4600"/>
            <w:tcMar>
              <w:top w:type="dxa" w:w="80"/>
              <w:left w:type="dxa" w:w="100"/>
              <w:bottom w:type="dxa" w:w="80"/>
              <w:right w:type="dxa" w:w="100"/>
            </w:tcMar>
            <w:vAlign w:val="center"/>
          </w:tcPr>
          <w:p>
            <w:r>
              <w:rPr>
                <w:b w:val="false"/>
                <w:bCs w:val="false"/>
                <w:color w:val="000000"/>
                <w:sz w:val="19"/>
                <w:szCs w:val="19"/>
              </w:rPr>
              <w:t xml:space="preserve">Cluster of campaign/loyalty microsites — commonly built quickly and forgotten after the campaign ends.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supernovas.indrive.com / coaching.supernovas.indrive.com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Corporate / Talent Program</w:t>
            </w:r>
          </w:p>
        </w:tc>
        <w:tc>
          <w:tcPr>
            <w:tcW w:type="dxa" w:w="4600"/>
            <w:tcMar>
              <w:top w:type="dxa" w:w="80"/>
              <w:left w:type="dxa" w:w="100"/>
              <w:bottom w:type="dxa" w:w="80"/>
              <w:right w:type="dxa" w:w="100"/>
            </w:tcMar>
            <w:vAlign w:val="center"/>
          </w:tcPr>
          <w:p>
            <w:r>
              <w:rPr>
                <w:b w:val="false"/>
                <w:bCs w:val="false"/>
                <w:color w:val="000000"/>
                <w:sz w:val="19"/>
                <w:szCs w:val="19"/>
              </w:rPr>
              <w:t xml:space="preserve">inDrive Supernovas talent-coaching platform, including a subdomain hosting downloadable PDF course material.</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arsentomsky.indrive.com / pristegnimechty.indrive.com / gentecondrive.indrive.com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Regional Campaign</w:t>
            </w:r>
          </w:p>
        </w:tc>
        <w:tc>
          <w:tcPr>
            <w:tcW w:type="dxa" w:w="4600"/>
            <w:tcMar>
              <w:top w:type="dxa" w:w="80"/>
              <w:left w:type="dxa" w:w="100"/>
              <w:bottom w:type="dxa" w:w="80"/>
              <w:right w:type="dxa" w:w="100"/>
            </w:tcMar>
            <w:vAlign w:val="center"/>
          </w:tcPr>
          <w:p>
            <w:r>
              <w:rPr>
                <w:b w:val="false"/>
                <w:bCs w:val="false"/>
                <w:color w:val="000000"/>
                <w:sz w:val="19"/>
                <w:szCs w:val="19"/>
              </w:rPr>
              <w:t xml:space="preserve">Localized (Russian/other-language) campaign microsites — long-tail forgotten-asset risk.</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av.indrive.com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Autonomous Vehicles</w:t>
            </w:r>
          </w:p>
        </w:tc>
        <w:tc>
          <w:tcPr>
            <w:tcW w:type="dxa" w:w="4600"/>
            <w:tcMar>
              <w:top w:type="dxa" w:w="80"/>
              <w:left w:type="dxa" w:w="100"/>
              <w:bottom w:type="dxa" w:w="80"/>
              <w:right w:type="dxa" w:w="100"/>
            </w:tcMar>
            <w:vAlign w:val="center"/>
          </w:tcPr>
          <w:p>
            <w:r>
              <w:rPr>
                <w:b w:val="false"/>
                <w:bCs w:val="false"/>
                <w:color w:val="000000"/>
                <w:sz w:val="19"/>
                <w:szCs w:val="19"/>
              </w:rPr>
              <w:t xml:space="preserve">Autonomous-mobility initiative site — hosts the AV manifest PDF found in Task 3.</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jlml.indrive.com / jlml-wf.indrive.com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Internal / Unclear</w:t>
            </w:r>
          </w:p>
        </w:tc>
        <w:tc>
          <w:tcPr>
            <w:tcW w:type="dxa" w:w="4600"/>
            <w:tcMar>
              <w:top w:type="dxa" w:w="80"/>
              <w:left w:type="dxa" w:w="100"/>
              <w:bottom w:type="dxa" w:w="80"/>
              <w:right w:type="dxa" w:w="100"/>
            </w:tcMar>
            <w:vAlign w:val="center"/>
          </w:tcPr>
          <w:p>
            <w:r>
              <w:rPr>
                <w:b w:val="false"/>
                <w:bCs w:val="false"/>
                <w:color w:val="000000"/>
                <w:sz w:val="19"/>
                <w:szCs w:val="19"/>
              </w:rPr>
              <w:t xml:space="preserve">Non-descriptive internal naming; classification requires manual review.</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services.indrive.com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w:t>
            </w:r>
          </w:p>
        </w:tc>
        <w:tc>
          <w:tcPr>
            <w:tcW w:type="dxa" w:w="4600"/>
            <w:tcMar>
              <w:top w:type="dxa" w:w="80"/>
              <w:left w:type="dxa" w:w="100"/>
              <w:bottom w:type="dxa" w:w="80"/>
              <w:right w:type="dxa" w:w="100"/>
            </w:tcMar>
            <w:vAlign w:val="center"/>
          </w:tcPr>
          <w:p>
            <w:r>
              <w:rPr>
                <w:b w:val="false"/>
                <w:bCs w:val="false"/>
                <w:color w:val="000000"/>
                <w:sz w:val="19"/>
                <w:szCs w:val="19"/>
              </w:rPr>
              <w:t xml:space="preserve">General services entry point.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food.indrive.com / web.indrive.com / sale.indrive.com / catalogue.indrive.com / inapps.indrive.com</w:t>
            </w:r>
          </w:p>
        </w:tc>
        <w:tc>
          <w:tcPr>
            <w:tcW w:type="dxa" w:w="1600"/>
            <w:tcMar>
              <w:top w:type="dxa" w:w="80"/>
              <w:left w:type="dxa" w:w="100"/>
              <w:bottom w:type="dxa" w:w="80"/>
              <w:right w:type="dxa" w:w="100"/>
            </w:tcMar>
            <w:vAlign w:val="center"/>
          </w:tcPr>
          <w:p>
            <w:r>
              <w:rPr>
                <w:b w:val="false"/>
                <w:bCs w:val="false"/>
                <w:color w:val="000000"/>
                <w:sz w:val="19"/>
                <w:szCs w:val="19"/>
              </w:rPr>
              <w:t xml:space="preserve">Product / Regional</w:t>
            </w:r>
          </w:p>
        </w:tc>
        <w:tc>
          <w:tcPr>
            <w:tcW w:type="dxa" w:w="4600"/>
            <w:tcMar>
              <w:top w:type="dxa" w:w="80"/>
              <w:left w:type="dxa" w:w="100"/>
              <w:bottom w:type="dxa" w:w="80"/>
              <w:right w:type="dxa" w:w="100"/>
            </w:tcMar>
            <w:vAlign w:val="center"/>
          </w:tcPr>
          <w:p>
            <w:r>
              <w:rPr>
                <w:b w:val="false"/>
                <w:bCs w:val="false"/>
                <w:color w:val="000000"/>
                <w:sz w:val="19"/>
                <w:szCs w:val="19"/>
              </w:rPr>
              <w:t xml:space="preserve">Additional product-line and regional subdomains discovered by Subfinder.</w:t>
            </w:r>
          </w:p>
        </w:tc>
      </w:tr>
    </w:tbl>
    <w:p>
      <w:pPr>
        <w:pStyle w:val="Heading1"/>
        <w:spacing w:after="200" w:before="400"/>
      </w:pPr>
      <w:r>
        <w:t xml:space="preserve">Task 5 — Live Host Verification</w:t>
      </w:r>
    </w:p>
    <w:p>
      <w:pPr>
        <w:spacing w:after="150"/>
      </w:pPr>
      <w:r>
        <w:t xml:space="preserve">The merged subdomain list was probed with httpx-toolkit (httpx -status-code -title -web-server -follow-redirects -tech-detect) to determine which hosts are actually live, and to record status codes, page titles, web servers, and technology fingerprints in a single pass.</w:t>
      </w:r>
    </w:p>
    <w:p>
      <w:pPr>
        <w:spacing w:after="80" w:before="20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555555"/>
          <w:sz w:val="18"/>
          <w:szCs w:val="18"/>
        </w:rPr>
        <w:t xml:space="preserve">Figure 5.1 — httpx-toolkit scan of the deduplicated subdomain list, showing status codes, titles, servers, and detected technologies.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2500"/>
        <w:gridCol w:w="2400"/>
        <w:gridCol w:w="16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URL</w:t>
            </w:r>
          </w:p>
        </w:tc>
        <w:tc>
          <w:tcPr>
            <w:tcW w:type="dxa" w:w="900"/>
            <w:shd w:fill="1F3864" w:val="clear"/>
            <w:tcMar>
              <w:top w:type="dxa" w:w="80"/>
              <w:left w:type="dxa" w:w="100"/>
              <w:bottom w:type="dxa" w:w="80"/>
              <w:right w:type="dxa" w:w="100"/>
            </w:tcMar>
            <w:vAlign w:val="center"/>
          </w:tcPr>
          <w:p>
            <w:r>
              <w:rPr>
                <w:b/>
                <w:bCs/>
                <w:color w:val="FFFFFF"/>
                <w:sz w:val="19"/>
                <w:szCs w:val="19"/>
              </w:rPr>
              <w:t xml:space="preserve">Status</w:t>
            </w:r>
          </w:p>
        </w:tc>
        <w:tc>
          <w:tcPr>
            <w:tcW w:type="dxa" w:w="2500"/>
            <w:shd w:fill="1F3864" w:val="clear"/>
            <w:tcMar>
              <w:top w:type="dxa" w:w="80"/>
              <w:left w:type="dxa" w:w="100"/>
              <w:bottom w:type="dxa" w:w="80"/>
              <w:right w:type="dxa" w:w="100"/>
            </w:tcMar>
            <w:vAlign w:val="center"/>
          </w:tcPr>
          <w:p>
            <w:r>
              <w:rPr>
                <w:b/>
                <w:bCs/>
                <w:color w:val="FFFFFF"/>
                <w:sz w:val="19"/>
                <w:szCs w:val="19"/>
              </w:rPr>
              <w:t xml:space="preserve">Title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Server / Tech</w:t>
            </w:r>
          </w:p>
        </w:tc>
        <w:tc>
          <w:tcPr>
            <w:tcW w:type="dxa" w:w="1600"/>
            <w:shd w:fill="1F3864" w:val="clear"/>
            <w:tcMar>
              <w:top w:type="dxa" w:w="80"/>
              <w:left w:type="dxa" w:w="100"/>
              <w:bottom w:type="dxa" w:w="80"/>
              <w:right w:type="dxa" w:w="100"/>
            </w:tcMar>
            <w:vAlign w:val="center"/>
          </w:tcPr>
          <w:p>
            <w:r>
              <w:rPr>
                <w:b/>
                <w:bCs/>
                <w:color w:val="FFFFFF"/>
                <w:sz w:val="19"/>
                <w:szCs w:val="19"/>
              </w:rPr>
              <w:t xml:space="preserve">Notes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http://gentecondrive.indrive.com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301</w:t>
            </w:r>
          </w:p>
        </w:tc>
        <w:tc>
          <w:tcPr>
            <w:tcW w:type="dxa" w:w="2500"/>
            <w:tcMar>
              <w:top w:type="dxa" w:w="80"/>
              <w:left w:type="dxa" w:w="100"/>
              <w:bottom w:type="dxa" w:w="80"/>
              <w:right w:type="dxa" w:w="100"/>
            </w:tcMar>
            <w:vAlign w:val="center"/>
          </w:tcPr>
          <w:p>
            <w:r>
              <w:rPr>
                <w:b w:val="false"/>
                <w:bCs w:val="false"/>
                <w:color w:val="000000"/>
                <w:sz w:val="19"/>
                <w:szCs w:val="19"/>
              </w:rPr>
              <w:t xml:space="preserve">—</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600"/>
            <w:tcMar>
              <w:top w:type="dxa" w:w="80"/>
              <w:left w:type="dxa" w:w="100"/>
              <w:bottom w:type="dxa" w:w="80"/>
              <w:right w:type="dxa" w:w="100"/>
            </w:tcMar>
            <w:vAlign w:val="center"/>
          </w:tcPr>
          <w:p>
            <w:r>
              <w:rPr>
                <w:b w:val="false"/>
                <w:bCs w:val="false"/>
                <w:color w:val="000000"/>
                <w:sz w:val="19"/>
                <w:szCs w:val="19"/>
              </w:rPr>
              <w:t xml:space="preserve">Redirect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http://injob.indrive.com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w:t>
            </w:r>
          </w:p>
        </w:tc>
        <w:tc>
          <w:tcPr>
            <w:tcW w:type="dxa" w:w="2500"/>
            <w:tcMar>
              <w:top w:type="dxa" w:w="80"/>
              <w:left w:type="dxa" w:w="100"/>
              <w:bottom w:type="dxa" w:w="80"/>
              <w:right w:type="dxa" w:w="100"/>
            </w:tcMar>
            <w:vAlign w:val="center"/>
          </w:tcPr>
          <w:p>
            <w:r>
              <w:rPr>
                <w:b w:val="false"/>
                <w:bCs w:val="false"/>
                <w:color w:val="000000"/>
                <w:sz w:val="19"/>
                <w:szCs w:val="19"/>
              </w:rPr>
              <w:t xml:space="preserve">—</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600"/>
            <w:tcMar>
              <w:top w:type="dxa" w:w="80"/>
              <w:left w:type="dxa" w:w="100"/>
              <w:bottom w:type="dxa" w:w="80"/>
              <w:right w:type="dxa" w:w="100"/>
            </w:tcMar>
            <w:vAlign w:val="center"/>
          </w:tcPr>
          <w:p>
            <w:r>
              <w:rPr>
                <w:b w:val="false"/>
                <w:bCs w:val="false"/>
                <w:color w:val="000000"/>
                <w:sz w:val="19"/>
                <w:szCs w:val="19"/>
              </w:rPr>
              <w:t xml:space="preserve">No title returned</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http://fairchoice.indrive.com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Impact Deposit</w:t>
            </w:r>
          </w:p>
        </w:tc>
        <w:tc>
          <w:tcPr>
            <w:tcW w:type="dxa" w:w="2400"/>
            <w:tcMar>
              <w:top w:type="dxa" w:w="80"/>
              <w:left w:type="dxa" w:w="100"/>
              <w:bottom w:type="dxa" w:w="80"/>
              <w:right w:type="dxa" w:w="100"/>
            </w:tcMar>
            <w:vAlign w:val="center"/>
          </w:tcPr>
          <w:p>
            <w:r>
              <w:rPr>
                <w:b w:val="false"/>
                <w:bCs w:val="false"/>
                <w:color w:val="000000"/>
                <w:sz w:val="19"/>
                <w:szCs w:val="19"/>
              </w:rPr>
              <w:t xml:space="preserve">nginx/1.18.0 (Ubuntu)</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http://id.indrive.com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404</w:t>
            </w:r>
          </w:p>
        </w:tc>
        <w:tc>
          <w:tcPr>
            <w:tcW w:type="dxa" w:w="2500"/>
            <w:tcMar>
              <w:top w:type="dxa" w:w="80"/>
              <w:left w:type="dxa" w:w="100"/>
              <w:bottom w:type="dxa" w:w="80"/>
              <w:right w:type="dxa" w:w="100"/>
            </w:tcMar>
            <w:vAlign w:val="center"/>
          </w:tcPr>
          <w:p>
            <w:r>
              <w:rPr>
                <w:b w:val="false"/>
                <w:bCs w:val="false"/>
                <w:color w:val="000000"/>
                <w:sz w:val="19"/>
                <w:szCs w:val="19"/>
              </w:rPr>
              <w:t xml:space="preserve">Not Found</w:t>
            </w:r>
          </w:p>
        </w:tc>
        <w:tc>
          <w:tcPr>
            <w:tcW w:type="dxa" w:w="2400"/>
            <w:tcMar>
              <w:top w:type="dxa" w:w="80"/>
              <w:left w:type="dxa" w:w="100"/>
              <w:bottom w:type="dxa" w:w="80"/>
              <w:right w:type="dxa" w:w="100"/>
            </w:tcMar>
            <w:vAlign w:val="center"/>
          </w:tcPr>
          <w:p>
            <w:r>
              <w:rPr>
                <w:b w:val="false"/>
                <w:bCs w:val="false"/>
                <w:color w:val="000000"/>
                <w:sz w:val="19"/>
                <w:szCs w:val="19"/>
              </w:rPr>
              <w:t xml:space="preserve">nginx/1.18.0 (Ubuntu)</w:t>
            </w:r>
          </w:p>
        </w:tc>
        <w:tc>
          <w:tcPr>
            <w:tcW w:type="dxa" w:w="1600"/>
            <w:tcMar>
              <w:top w:type="dxa" w:w="80"/>
              <w:left w:type="dxa" w:w="100"/>
              <w:bottom w:type="dxa" w:w="80"/>
              <w:right w:type="dxa" w:w="100"/>
            </w:tcMar>
            <w:vAlign w:val="center"/>
          </w:tcPr>
          <w:p>
            <w:r>
              <w:rPr>
                <w:b w:val="false"/>
                <w:bCs w:val="false"/>
                <w:color w:val="000000"/>
                <w:sz w:val="19"/>
                <w:szCs w:val="19"/>
              </w:rPr>
              <w:t xml:space="preserve">Live, 404 page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https://delivery-webview.indrive.com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4xx</w:t>
            </w:r>
          </w:p>
        </w:tc>
        <w:tc>
          <w:tcPr>
            <w:tcW w:type="dxa" w:w="2500"/>
            <w:tcMar>
              <w:top w:type="dxa" w:w="80"/>
              <w:left w:type="dxa" w:w="100"/>
              <w:bottom w:type="dxa" w:w="80"/>
              <w:right w:type="dxa" w:w="100"/>
            </w:tcMar>
            <w:vAlign w:val="center"/>
          </w:tcPr>
          <w:p>
            <w:r>
              <w:rPr>
                <w:b w:val="false"/>
                <w:bCs w:val="false"/>
                <w:color w:val="000000"/>
                <w:sz w:val="19"/>
                <w:szCs w:val="19"/>
              </w:rPr>
              <w:t xml:space="preserve">—</w:t>
            </w:r>
          </w:p>
        </w:tc>
        <w:tc>
          <w:tcPr>
            <w:tcW w:type="dxa" w:w="2400"/>
            <w:tcMar>
              <w:top w:type="dxa" w:w="80"/>
              <w:left w:type="dxa" w:w="100"/>
              <w:bottom w:type="dxa" w:w="80"/>
              <w:right w:type="dxa" w:w="100"/>
            </w:tcMar>
            <w:vAlign w:val="center"/>
          </w:tcPr>
          <w:p>
            <w:r>
              <w:rPr>
                <w:b w:val="false"/>
                <w:bCs w:val="false"/>
                <w:color w:val="000000"/>
                <w:sz w:val="19"/>
                <w:szCs w:val="19"/>
              </w:rPr>
              <w:t xml:space="preserve">istio-envoy / Amazon CloudFront</w:t>
            </w:r>
          </w:p>
        </w:tc>
        <w:tc>
          <w:tcPr>
            <w:tcW w:type="dxa" w:w="1600"/>
            <w:tcMar>
              <w:top w:type="dxa" w:w="80"/>
              <w:left w:type="dxa" w:w="100"/>
              <w:bottom w:type="dxa" w:w="80"/>
              <w:right w:type="dxa" w:w="100"/>
            </w:tcMar>
            <w:vAlign w:val="center"/>
          </w:tcPr>
          <w:p>
            <w:r>
              <w:rPr>
                <w:b w:val="false"/>
                <w:bCs w:val="false"/>
                <w:color w:val="000000"/>
                <w:sz w:val="19"/>
                <w:szCs w:val="19"/>
              </w:rPr>
              <w:t xml:space="preserve">Backed by AWS + Envoy mesh</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http://demo.indrive.com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InDrive Rulebook</w:t>
            </w:r>
          </w:p>
        </w:tc>
        <w:tc>
          <w:tcPr>
            <w:tcW w:type="dxa" w:w="2400"/>
            <w:tcMar>
              <w:top w:type="dxa" w:w="80"/>
              <w:left w:type="dxa" w:w="100"/>
              <w:bottom w:type="dxa" w:w="80"/>
              <w:right w:type="dxa" w:w="100"/>
            </w:tcMar>
            <w:vAlign w:val="center"/>
          </w:tcPr>
          <w:p>
            <w:r>
              <w:rPr>
                <w:b w:val="false"/>
                <w:bCs w:val="false"/>
                <w:color w:val="000000"/>
                <w:sz w:val="19"/>
                <w:szCs w:val="19"/>
              </w:rPr>
              <w:t xml:space="preserve">nginx / Google Cloud CDN, HTTP/2</w:t>
            </w:r>
          </w:p>
        </w:tc>
        <w:tc>
          <w:tcPr>
            <w:tcW w:type="dxa" w:w="1600"/>
            <w:tcMar>
              <w:top w:type="dxa" w:w="80"/>
              <w:left w:type="dxa" w:w="100"/>
              <w:bottom w:type="dxa" w:w="80"/>
              <w:right w:type="dxa" w:w="100"/>
            </w:tcMar>
            <w:vAlign w:val="center"/>
          </w:tcPr>
          <w:p>
            <w:r>
              <w:rPr>
                <w:b w:val="false"/>
                <w:bCs w:val="false"/>
                <w:color w:val="000000"/>
                <w:sz w:val="19"/>
                <w:szCs w:val="19"/>
              </w:rPr>
              <w:t xml:space="preserve">Hosted on Google Cloud (outside main AWS footprint)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http://bus.mx.indrive.com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Tickets</w:t>
            </w:r>
          </w:p>
        </w:tc>
        <w:tc>
          <w:tcPr>
            <w:tcW w:type="dxa" w:w="2400"/>
            <w:tcMar>
              <w:top w:type="dxa" w:w="80"/>
              <w:left w:type="dxa" w:w="100"/>
              <w:bottom w:type="dxa" w:w="80"/>
              <w:right w:type="dxa" w:w="100"/>
            </w:tcMar>
            <w:vAlign w:val="center"/>
          </w:tcPr>
          <w:p>
            <w:r>
              <w:rPr>
                <w:b w:val="false"/>
                <w:bCs w:val="false"/>
                <w:color w:val="000000"/>
                <w:sz w:val="19"/>
                <w:szCs w:val="19"/>
              </w:rPr>
              <w:t xml:space="preserve">Google Cloud, HTTP/2</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http://bus.br.indrive.com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Tickets</w:t>
            </w:r>
          </w:p>
        </w:tc>
        <w:tc>
          <w:tcPr>
            <w:tcW w:type="dxa" w:w="2400"/>
            <w:tcMar>
              <w:top w:type="dxa" w:w="80"/>
              <w:left w:type="dxa" w:w="100"/>
              <w:bottom w:type="dxa" w:w="80"/>
              <w:right w:type="dxa" w:w="100"/>
            </w:tcMar>
            <w:vAlign w:val="center"/>
          </w:tcPr>
          <w:p>
            <w:r>
              <w:rPr>
                <w:b w:val="false"/>
                <w:bCs w:val="false"/>
                <w:color w:val="000000"/>
                <w:sz w:val="19"/>
                <w:szCs w:val="19"/>
              </w:rPr>
              <w:t xml:space="preserve">Google Cloud CDN, HSTS, HTTP/2</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http://handbook.indrive.com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Handbook</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 / Google Tag Manager</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http://company.indrive.com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Company Page</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 / WebFlow / jQuery 3.5.1</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http://cr.indrive.com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403</w:t>
            </w:r>
          </w:p>
        </w:tc>
        <w:tc>
          <w:tcPr>
            <w:tcW w:type="dxa" w:w="2500"/>
            <w:tcMar>
              <w:top w:type="dxa" w:w="80"/>
              <w:left w:type="dxa" w:w="100"/>
              <w:bottom w:type="dxa" w:w="80"/>
              <w:right w:type="dxa" w:w="100"/>
            </w:tcMar>
            <w:vAlign w:val="center"/>
          </w:tcPr>
          <w:p>
            <w:r>
              <w:rPr>
                <w:b w:val="false"/>
                <w:bCs w:val="false"/>
                <w:color w:val="000000"/>
                <w:sz w:val="19"/>
                <w:szCs w:val="19"/>
              </w:rPr>
              <w:t xml:space="preserve">—</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600"/>
            <w:tcMar>
              <w:top w:type="dxa" w:w="80"/>
              <w:left w:type="dxa" w:w="100"/>
              <w:bottom w:type="dxa" w:w="80"/>
              <w:right w:type="dxa" w:w="100"/>
            </w:tcMar>
            <w:vAlign w:val="center"/>
          </w:tcPr>
          <w:p>
            <w:r>
              <w:rPr>
                <w:b w:val="false"/>
                <w:bCs w:val="false"/>
                <w:color w:val="000000"/>
                <w:sz w:val="19"/>
                <w:szCs w:val="19"/>
              </w:rPr>
              <w:t xml:space="preserve">Forbidden — WAF block or restricted resource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http://intercity.indrive.com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403</w:t>
            </w:r>
          </w:p>
        </w:tc>
        <w:tc>
          <w:tcPr>
            <w:tcW w:type="dxa" w:w="2500"/>
            <w:tcMar>
              <w:top w:type="dxa" w:w="80"/>
              <w:left w:type="dxa" w:w="100"/>
              <w:bottom w:type="dxa" w:w="80"/>
              <w:right w:type="dxa" w:w="100"/>
            </w:tcMar>
            <w:vAlign w:val="center"/>
          </w:tcPr>
          <w:p>
            <w:r>
              <w:rPr>
                <w:b w:val="false"/>
                <w:bCs w:val="false"/>
                <w:color w:val="000000"/>
                <w:sz w:val="19"/>
                <w:szCs w:val="19"/>
              </w:rPr>
              <w:t xml:space="preserve">—</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600"/>
            <w:tcMar>
              <w:top w:type="dxa" w:w="80"/>
              <w:left w:type="dxa" w:w="100"/>
              <w:bottom w:type="dxa" w:w="80"/>
              <w:right w:type="dxa" w:w="100"/>
            </w:tcMar>
            <w:vAlign w:val="center"/>
          </w:tcPr>
          <w:p>
            <w:r>
              <w:rPr>
                <w:b w:val="false"/>
                <w:bCs w:val="false"/>
                <w:color w:val="000000"/>
                <w:sz w:val="19"/>
                <w:szCs w:val="19"/>
              </w:rPr>
              <w:t xml:space="preserve">Forbidden — WAF block or restricted resource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http://infaces.indrive.com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inFaces</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 / Frontify</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http://brand.indrive.com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Brand Guidelines</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http://blog.indrive.com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Blog — News &amp; Articles</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 / nginx</w:t>
            </w:r>
          </w:p>
        </w:tc>
        <w:tc>
          <w:tcPr>
            <w:tcW w:type="dxa" w:w="1600"/>
            <w:tcMar>
              <w:top w:type="dxa" w:w="80"/>
              <w:left w:type="dxa" w:w="100"/>
              <w:bottom w:type="dxa" w:w="80"/>
              <w:right w:type="dxa" w:w="100"/>
            </w:tcMar>
            <w:vAlign w:val="center"/>
          </w:tcPr>
          <w:p>
            <w:r>
              <w:rPr>
                <w:b w:val="false"/>
                <w:bCs w:val="false"/>
                <w:color w:val="000000"/>
                <w:sz w:val="19"/>
                <w:szCs w:val="19"/>
              </w:rPr>
              <w:t xml:space="preserve">Live, WordPress CMS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http://jlml.indrive.com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InDrive Numbeon</w:t>
            </w:r>
          </w:p>
        </w:tc>
        <w:tc>
          <w:tcPr>
            <w:tcW w:type="dxa" w:w="2400"/>
            <w:tcMar>
              <w:top w:type="dxa" w:w="80"/>
              <w:left w:type="dxa" w:w="100"/>
              <w:bottom w:type="dxa" w:w="80"/>
              <w:right w:type="dxa" w:w="100"/>
            </w:tcMar>
            <w:vAlign w:val="center"/>
          </w:tcPr>
          <w:p>
            <w:r>
              <w:rPr>
                <w:b w:val="false"/>
                <w:bCs w:val="false"/>
                <w:color w:val="000000"/>
                <w:sz w:val="19"/>
                <w:szCs w:val="19"/>
              </w:rPr>
              <w:t xml:space="preserve">cloudflare / Firebase / Google Cloud CDN</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http://careers.indrive.com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inDrive Careers — Ignite Your Inner Drive</w:t>
            </w:r>
          </w:p>
        </w:tc>
        <w:tc>
          <w:tcPr>
            <w:tcW w:type="dxa" w:w="2400"/>
            <w:tcMar>
              <w:top w:type="dxa" w:w="80"/>
              <w:left w:type="dxa" w:w="100"/>
              <w:bottom w:type="dxa" w:w="80"/>
              <w:right w:type="dxa" w:w="100"/>
            </w:tcMar>
            <w:vAlign w:val="center"/>
          </w:tcPr>
          <w:p>
            <w:r>
              <w:rPr>
                <w:b w:val="false"/>
                <w:bCs w:val="false"/>
                <w:color w:val="000000"/>
                <w:sz w:val="19"/>
                <w:szCs w:val="19"/>
              </w:rPr>
              <w:t xml:space="preserve">Apache/2.4.58 (Ubuntu)</w:t>
            </w:r>
          </w:p>
        </w:tc>
        <w:tc>
          <w:tcPr>
            <w:tcW w:type="dxa" w:w="1600"/>
            <w:tcMar>
              <w:top w:type="dxa" w:w="80"/>
              <w:left w:type="dxa" w:w="100"/>
              <w:bottom w:type="dxa" w:w="80"/>
              <w:right w:type="dxa" w:w="100"/>
            </w:tcMar>
            <w:vAlign w:val="center"/>
          </w:tcPr>
          <w:p>
            <w:r>
              <w:rPr>
                <w:b w:val="false"/>
                <w:bCs w:val="false"/>
                <w:color w:val="000000"/>
                <w:sz w:val="19"/>
                <w:szCs w:val="19"/>
              </w:rPr>
              <w:t xml:space="preserve">Live, non-standard web server vs. rest of estate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http://movie.indrive.com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200</w:t>
            </w:r>
          </w:p>
        </w:tc>
        <w:tc>
          <w:tcPr>
            <w:tcW w:type="dxa" w:w="2500"/>
            <w:tcMar>
              <w:top w:type="dxa" w:w="80"/>
              <w:left w:type="dxa" w:w="100"/>
              <w:bottom w:type="dxa" w:w="80"/>
              <w:right w:type="dxa" w:w="100"/>
            </w:tcMar>
            <w:vAlign w:val="center"/>
          </w:tcPr>
          <w:p>
            <w:r>
              <w:rPr>
                <w:b w:val="false"/>
                <w:bCs w:val="false"/>
                <w:color w:val="000000"/>
                <w:sz w:val="19"/>
                <w:szCs w:val="19"/>
              </w:rPr>
              <w:t xml:space="preserve">Inner Drive — A Film About Challenging Injustice</w:t>
            </w:r>
          </w:p>
        </w:tc>
        <w:tc>
          <w:tcPr>
            <w:tcW w:type="dxa" w:w="2400"/>
            <w:tcMar>
              <w:top w:type="dxa" w:w="80"/>
              <w:left w:type="dxa" w:w="100"/>
              <w:bottom w:type="dxa" w:w="80"/>
              <w:right w:type="dxa" w:w="100"/>
            </w:tcMar>
            <w:vAlign w:val="center"/>
          </w:tcPr>
          <w:p>
            <w:r>
              <w:rPr>
                <w:b w:val="false"/>
                <w:bCs w:val="false"/>
                <w:color w:val="000000"/>
                <w:sz w:val="19"/>
                <w:szCs w:val="19"/>
              </w:rPr>
              <w:t xml:space="preserve">istio-envoy / AWS</w:t>
            </w:r>
          </w:p>
        </w:tc>
        <w:tc>
          <w:tcPr>
            <w:tcW w:type="dxa" w:w="1600"/>
            <w:tcMar>
              <w:top w:type="dxa" w:w="80"/>
              <w:left w:type="dxa" w:w="100"/>
              <w:bottom w:type="dxa" w:w="80"/>
              <w:right w:type="dxa" w:w="100"/>
            </w:tcMar>
            <w:vAlign w:val="center"/>
          </w:tcPr>
          <w:p>
            <w:r>
              <w:rPr>
                <w:b w:val="false"/>
                <w:bCs w:val="false"/>
                <w:color w:val="000000"/>
                <w:sz w:val="19"/>
                <w:szCs w:val="19"/>
              </w:rPr>
              <w:t xml:space="preserve">Live</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http://book.indrive.com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307 → 200</w:t>
            </w:r>
          </w:p>
        </w:tc>
        <w:tc>
          <w:tcPr>
            <w:tcW w:type="dxa" w:w="2500"/>
            <w:tcMar>
              <w:top w:type="dxa" w:w="80"/>
              <w:left w:type="dxa" w:w="100"/>
              <w:bottom w:type="dxa" w:w="80"/>
              <w:right w:type="dxa" w:w="100"/>
            </w:tcMar>
            <w:vAlign w:val="center"/>
          </w:tcPr>
          <w:p>
            <w:r>
              <w:rPr>
                <w:b w:val="false"/>
                <w:bCs w:val="false"/>
                <w:color w:val="000000"/>
                <w:sz w:val="19"/>
                <w:szCs w:val="19"/>
              </w:rPr>
              <w:t xml:space="preserve">The inDrive Story | Download the Book</w:t>
            </w:r>
          </w:p>
        </w:tc>
        <w:tc>
          <w:tcPr>
            <w:tcW w:type="dxa" w:w="2400"/>
            <w:tcMar>
              <w:top w:type="dxa" w:w="80"/>
              <w:left w:type="dxa" w:w="100"/>
              <w:bottom w:type="dxa" w:w="80"/>
              <w:right w:type="dxa" w:w="100"/>
            </w:tcMar>
            <w:vAlign w:val="center"/>
          </w:tcPr>
          <w:p>
            <w:r>
              <w:rPr>
                <w:b w:val="false"/>
                <w:bCs w:val="false"/>
                <w:color w:val="000000"/>
                <w:sz w:val="19"/>
                <w:szCs w:val="19"/>
              </w:rPr>
              <w:t xml:space="preserve">istio-envoy / AWS</w:t>
            </w:r>
          </w:p>
        </w:tc>
        <w:tc>
          <w:tcPr>
            <w:tcW w:type="dxa" w:w="1600"/>
            <w:tcMar>
              <w:top w:type="dxa" w:w="80"/>
              <w:left w:type="dxa" w:w="100"/>
              <w:bottom w:type="dxa" w:w="80"/>
              <w:right w:type="dxa" w:w="100"/>
            </w:tcMar>
            <w:vAlign w:val="center"/>
          </w:tcPr>
          <w:p>
            <w:r>
              <w:rPr>
                <w:b w:val="false"/>
                <w:bCs w:val="false"/>
                <w:color w:val="000000"/>
                <w:sz w:val="19"/>
                <w:szCs w:val="19"/>
              </w:rPr>
              <w:t xml:space="preserve">Redirect chain to final 200</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http://compliance.indrive.com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301 → 200</w:t>
            </w:r>
          </w:p>
        </w:tc>
        <w:tc>
          <w:tcPr>
            <w:tcW w:type="dxa" w:w="2500"/>
            <w:tcMar>
              <w:top w:type="dxa" w:w="80"/>
              <w:left w:type="dxa" w:w="100"/>
              <w:bottom w:type="dxa" w:w="80"/>
              <w:right w:type="dxa" w:w="100"/>
            </w:tcMar>
            <w:vAlign w:val="center"/>
          </w:tcPr>
          <w:p>
            <w:r>
              <w:rPr>
                <w:b w:val="false"/>
                <w:bCs w:val="false"/>
                <w:color w:val="000000"/>
                <w:sz w:val="19"/>
                <w:szCs w:val="19"/>
              </w:rPr>
              <w:t xml:space="preserve">Compliance &amp; Integrity | inDrive</w:t>
            </w:r>
          </w:p>
        </w:tc>
        <w:tc>
          <w:tcPr>
            <w:tcW w:type="dxa" w:w="2400"/>
            <w:tcMar>
              <w:top w:type="dxa" w:w="80"/>
              <w:left w:type="dxa" w:w="100"/>
              <w:bottom w:type="dxa" w:w="80"/>
              <w:right w:type="dxa" w:w="100"/>
            </w:tcMar>
            <w:vAlign w:val="center"/>
          </w:tcPr>
          <w:p>
            <w:r>
              <w:rPr>
                <w:b w:val="false"/>
                <w:bCs w:val="false"/>
                <w:color w:val="000000"/>
                <w:sz w:val="19"/>
                <w:szCs w:val="19"/>
              </w:rPr>
              <w:t xml:space="preserve">istio-envoy / AWS</w:t>
            </w:r>
          </w:p>
        </w:tc>
        <w:tc>
          <w:tcPr>
            <w:tcW w:type="dxa" w:w="1600"/>
            <w:tcMar>
              <w:top w:type="dxa" w:w="80"/>
              <w:left w:type="dxa" w:w="100"/>
              <w:bottom w:type="dxa" w:w="80"/>
              <w:right w:type="dxa" w:w="100"/>
            </w:tcMar>
            <w:vAlign w:val="center"/>
          </w:tcPr>
          <w:p>
            <w:r>
              <w:rPr>
                <w:b w:val="false"/>
                <w:bCs w:val="false"/>
                <w:color w:val="000000"/>
                <w:sz w:val="19"/>
                <w:szCs w:val="19"/>
              </w:rPr>
              <w:t xml:space="preserve">Redirect chain to final 200</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http://s.indrive.com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401</w:t>
            </w:r>
          </w:p>
        </w:tc>
        <w:tc>
          <w:tcPr>
            <w:tcW w:type="dxa" w:w="2500"/>
            <w:tcMar>
              <w:top w:type="dxa" w:w="80"/>
              <w:left w:type="dxa" w:w="100"/>
              <w:bottom w:type="dxa" w:w="80"/>
              <w:right w:type="dxa" w:w="100"/>
            </w:tcMar>
            <w:vAlign w:val="center"/>
          </w:tcPr>
          <w:p>
            <w:r>
              <w:rPr>
                <w:b w:val="false"/>
                <w:bCs w:val="false"/>
                <w:color w:val="000000"/>
                <w:sz w:val="19"/>
                <w:szCs w:val="19"/>
              </w:rPr>
              <w:t xml:space="preserve">—</w:t>
            </w:r>
          </w:p>
        </w:tc>
        <w:tc>
          <w:tcPr>
            <w:tcW w:type="dxa" w:w="2400"/>
            <w:tcMar>
              <w:top w:type="dxa" w:w="80"/>
              <w:left w:type="dxa" w:w="100"/>
              <w:bottom w:type="dxa" w:w="80"/>
              <w:right w:type="dxa" w:w="100"/>
            </w:tcMar>
            <w:vAlign w:val="center"/>
          </w:tcPr>
          <w:p>
            <w:r>
              <w:rPr>
                <w:b w:val="false"/>
                <w:bCs w:val="false"/>
                <w:color w:val="000000"/>
                <w:sz w:val="19"/>
                <w:szCs w:val="19"/>
              </w:rPr>
              <w:t xml:space="preserve">AmazonS3</w:t>
            </w:r>
          </w:p>
        </w:tc>
        <w:tc>
          <w:tcPr>
            <w:tcW w:type="dxa" w:w="1600"/>
            <w:tcMar>
              <w:top w:type="dxa" w:w="80"/>
              <w:left w:type="dxa" w:w="100"/>
              <w:bottom w:type="dxa" w:w="80"/>
              <w:right w:type="dxa" w:w="100"/>
            </w:tcMar>
            <w:vAlign w:val="center"/>
          </w:tcPr>
          <w:p>
            <w:r>
              <w:rPr>
                <w:b w:val="false"/>
                <w:bCs w:val="false"/>
                <w:color w:val="000000"/>
                <w:sz w:val="19"/>
                <w:szCs w:val="19"/>
              </w:rPr>
              <w:t xml:space="preserve">Unauthorized — S3 bucket requiring auth</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http://intercity.indrive.com</w:t>
            </w:r>
          </w:p>
        </w:tc>
        <w:tc>
          <w:tcPr>
            <w:tcW w:type="dxa" w:w="900"/>
            <w:tcMar>
              <w:top w:type="dxa" w:w="80"/>
              <w:left w:type="dxa" w:w="100"/>
              <w:bottom w:type="dxa" w:w="80"/>
              <w:right w:type="dxa" w:w="100"/>
            </w:tcMar>
            <w:vAlign w:val="center"/>
          </w:tcPr>
          <w:p>
            <w:r>
              <w:rPr>
                <w:b w:val="false"/>
                <w:bCs w:val="false"/>
                <w:color w:val="000000"/>
                <w:sz w:val="19"/>
                <w:szCs w:val="19"/>
              </w:rPr>
              <w:t xml:space="preserve">307 → 200</w:t>
            </w:r>
          </w:p>
        </w:tc>
        <w:tc>
          <w:tcPr>
            <w:tcW w:type="dxa" w:w="2500"/>
            <w:tcMar>
              <w:top w:type="dxa" w:w="80"/>
              <w:left w:type="dxa" w:w="100"/>
              <w:bottom w:type="dxa" w:w="80"/>
              <w:right w:type="dxa" w:w="100"/>
            </w:tcMar>
            <w:vAlign w:val="center"/>
          </w:tcPr>
          <w:p>
            <w:r>
              <w:rPr>
                <w:b w:val="false"/>
                <w:bCs w:val="false"/>
                <w:color w:val="000000"/>
                <w:sz w:val="19"/>
                <w:szCs w:val="19"/>
              </w:rPr>
              <w:t xml:space="preserve">Comfortable Rides Between Cities | inDrive</w:t>
            </w:r>
          </w:p>
        </w:tc>
        <w:tc>
          <w:tcPr>
            <w:tcW w:type="dxa" w:w="2400"/>
            <w:tcMar>
              <w:top w:type="dxa" w:w="80"/>
              <w:left w:type="dxa" w:w="100"/>
              <w:bottom w:type="dxa" w:w="80"/>
              <w:right w:type="dxa" w:w="100"/>
            </w:tcMar>
            <w:vAlign w:val="center"/>
          </w:tcPr>
          <w:p>
            <w:r>
              <w:rPr>
                <w:b w:val="false"/>
                <w:bCs w:val="false"/>
                <w:color w:val="000000"/>
                <w:sz w:val="19"/>
                <w:szCs w:val="19"/>
              </w:rPr>
              <w:t xml:space="preserve">istio-envoy / AWS</w:t>
            </w:r>
          </w:p>
        </w:tc>
        <w:tc>
          <w:tcPr>
            <w:tcW w:type="dxa" w:w="1600"/>
            <w:tcMar>
              <w:top w:type="dxa" w:w="80"/>
              <w:left w:type="dxa" w:w="100"/>
              <w:bottom w:type="dxa" w:w="80"/>
              <w:right w:type="dxa" w:w="100"/>
            </w:tcMar>
            <w:vAlign w:val="center"/>
          </w:tcPr>
          <w:p>
            <w:r>
              <w:rPr>
                <w:b w:val="false"/>
                <w:bCs w:val="false"/>
                <w:color w:val="000000"/>
                <w:sz w:val="19"/>
                <w:szCs w:val="19"/>
              </w:rPr>
              <w:t xml:space="preserve">Live product page</w:t>
            </w:r>
          </w:p>
        </w:tc>
      </w:tr>
    </w:tbl>
    <w:p>
      <w:pPr>
        <w:spacing w:after="150"/>
      </w:pPr>
      <w:r>
        <w:t xml:space="preserve">Observations: the majority of live hosts sit behind Cloudflare, with a secondary cluster of product/API-style hosts running behind an Istio/Envoy service mesh on AWS (istio-envoy header), and a small number of outliers hosted directly on Google Cloud (demo, bus.mx, bus.br) or running a bare Apache server (careers.indrive.com) rather than the standard nginx/Cloudflare front end used elsewhere — an inconsistency worth flagging for the infrastructure team.</w:t>
      </w:r>
    </w:p>
    <w:p>
      <w:pPr>
        <w:pStyle w:val="Heading1"/>
        <w:spacing w:after="200" w:before="400"/>
      </w:pPr>
      <w:r>
        <w:t xml:space="preserve">Task 6 — Web Screenshot Collection</w:t>
      </w:r>
    </w:p>
    <w:p>
      <w:pPr>
        <w:spacing w:after="150"/>
      </w:pPr>
      <w:r>
        <w:t xml:space="preserve">Gowitness was used to capture screenshots of every live URL identified in Task 5, organizing captures by hostname into a local screenshot directory for the assignment evidence pack:</w:t>
      </w:r>
    </w:p>
    <w:p>
      <w:pPr>
        <w:shd w:fill="1e1e1e" w:val="clear"/>
        <w:spacing w:after="0"/>
      </w:pPr>
      <w:r>
        <w:rPr>
          <w:rFonts w:ascii="Consolas" w:cs="Consolas" w:eastAsia="Consolas" w:hAnsi="Consolas"/>
          <w:color w:val="d4d4d4"/>
          <w:sz w:val="18"/>
          <w:szCs w:val="18"/>
        </w:rPr>
        <w:t xml:space="preserve">$ gowitness scan file -f clean_live_urls.txt --threads 5 -s indrive_screenshots</w:t>
      </w:r>
    </w:p>
    <w:p>
      <w:pPr>
        <w:spacing w:after="80" w:before="200"/>
        <w:jc w:val="center"/>
      </w:pPr>
      <w:r>
        <w:drawing>
          <wp:inline distT="0" distB="0" distL="0" distR="0">
            <wp:extent cx="5334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209800"/>
                    </a:xfrm>
                    <a:prstGeom prst="rect">
                      <a:avLst/>
                    </a:prstGeom>
                  </pic:spPr>
                </pic:pic>
              </a:graphicData>
            </a:graphic>
          </wp:inline>
        </w:drawing>
      </w:r>
    </w:p>
    <w:p>
      <w:pPr>
        <w:spacing w:after="200"/>
        <w:jc w:val="center"/>
      </w:pPr>
      <w:r>
        <w:rPr>
          <w:i/>
          <w:iCs/>
          <w:color w:val="555555"/>
          <w:sz w:val="18"/>
          <w:szCs w:val="18"/>
        </w:rPr>
        <w:t xml:space="preserve">Figure 6.1 — Gowitness scan log, capturing screenshots of live hosts (e.g. gentecondrive.indrive.com, impact-together.indrive.com) into the indrive_screenshots directory.</w:t>
      </w:r>
    </w:p>
    <w:p>
      <w:pPr>
        <w:pStyle w:val="Heading2"/>
        <w:spacing w:after="150" w:before="300"/>
      </w:pPr>
      <w:r>
        <w:t xml:space="preserve">6.1 Findings from the Screenshot Sweep</w:t>
      </w:r>
    </w:p>
    <w:p>
      <w:pPr>
        <w:pStyle w:val="ListParagraph"/>
        <w:numPr>
          <w:ilvl w:val="0"/>
          <w:numId w:val="2"/>
        </w:numPr>
        <w:spacing w:after="80"/>
      </w:pPr>
      <w:r>
        <w:t xml:space="preserve">No exposed login pages or admin panels were observed among the successfully captured hosts.</w:t>
      </w:r>
    </w:p>
    <w:p>
      <w:pPr>
        <w:pStyle w:val="ListParagraph"/>
        <w:numPr>
          <w:ilvl w:val="0"/>
          <w:numId w:val="2"/>
        </w:numPr>
        <w:spacing w:after="80"/>
      </w:pPr>
      <w:r>
        <w:t xml:space="preserve">Several hosts returned HTTP 400 "plain HTTP request sent to HTTPS port", confirming those hosts enforce HTTPS-only access at the edge (gentecondrive.indrive.com, impact-together.indrive.com).</w:t>
      </w:r>
    </w:p>
    <w:p>
      <w:pPr>
        <w:pStyle w:val="ListParagraph"/>
        <w:numPr>
          <w:ilvl w:val="0"/>
          <w:numId w:val="2"/>
        </w:numPr>
        <w:spacing w:after="80"/>
      </w:pPr>
      <w:r>
        <w:t xml:space="preserve">A number of Cloudflare-fronted hosts failed with a DNS resolution error during the scan, most likely due to Cloudflare's proxy blocking automated, high-volume scanning tools rather than the hostnames being genuinely dead.</w:t>
      </w:r>
    </w:p>
    <w:p>
      <w:pPr>
        <w:pStyle w:val="ListParagraph"/>
        <w:numPr>
          <w:ilvl w:val="0"/>
          <w:numId w:val="2"/>
        </w:numPr>
        <w:spacing w:after="80"/>
      </w:pPr>
      <w:r>
        <w:t xml:space="preserve">The tool logged repeated non-fatal warnings ("could not unmarshal JSON string into Go network.CookiePartitionKey") — a known Gowitness/Chromium DevTools protocol compatibility issue that does not affect the validity of the captured screenshots.</w:t>
      </w:r>
    </w:p>
    <w:p>
      <w:pPr>
        <w:spacing w:after="150"/>
      </w:pPr>
      <w:r>
        <w:t xml:space="preserve">Screenshots were organized on disk under indrive_screenshots/&lt;hostname&gt;.png for traceability and were reviewed manually; no dashboards, exposed admin panels, or credential-entry forms were discovered on the hosts that resolved.</w:t>
      </w:r>
    </w:p>
    <w:p>
      <w:pPr>
        <w:pStyle w:val="Heading1"/>
        <w:spacing w:after="200" w:before="400"/>
      </w:pPr>
      <w:r>
        <w:t xml:space="preserve">Task 7 — Technology Fingerprinting</w:t>
      </w:r>
    </w:p>
    <w:p>
      <w:pPr>
        <w:spacing w:after="150"/>
      </w:pPr>
      <w:r>
        <w:t xml:space="preserve">Each live asset was fingerprinted for its web server, backend language, framework/CMS, front-end JavaScript libraries, CDN, and WAF, combining Wappalyzer, HTTP response header analysis, and httpx tech-detect output.</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1500"/>
        <w:gridCol w:w="1900"/>
        <w:gridCol w:w="1300"/>
        <w:gridCol w:w="13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Asset URL / Subdomain</w:t>
            </w:r>
          </w:p>
        </w:tc>
        <w:tc>
          <w:tcPr>
            <w:tcW w:type="dxa" w:w="1200"/>
            <w:shd w:fill="1F3864" w:val="clear"/>
            <w:tcMar>
              <w:top w:type="dxa" w:w="80"/>
              <w:left w:type="dxa" w:w="100"/>
              <w:bottom w:type="dxa" w:w="80"/>
              <w:right w:type="dxa" w:w="100"/>
            </w:tcMar>
            <w:vAlign w:val="center"/>
          </w:tcPr>
          <w:p>
            <w:r>
              <w:rPr>
                <w:b/>
                <w:bCs/>
                <w:color w:val="FFFFFF"/>
                <w:sz w:val="19"/>
                <w:szCs w:val="19"/>
              </w:rPr>
              <w:t xml:space="preserve">Web Server</w:t>
            </w:r>
          </w:p>
        </w:tc>
        <w:tc>
          <w:tcPr>
            <w:tcW w:type="dxa" w:w="1500"/>
            <w:shd w:fill="1F3864" w:val="clear"/>
            <w:tcMar>
              <w:top w:type="dxa" w:w="80"/>
              <w:left w:type="dxa" w:w="100"/>
              <w:bottom w:type="dxa" w:w="80"/>
              <w:right w:type="dxa" w:w="100"/>
            </w:tcMar>
            <w:vAlign w:val="center"/>
          </w:tcPr>
          <w:p>
            <w:r>
              <w:rPr>
                <w:b/>
                <w:bCs/>
                <w:color w:val="FFFFFF"/>
                <w:sz w:val="19"/>
                <w:szCs w:val="19"/>
              </w:rPr>
              <w:t xml:space="preserve">Programming Language</w:t>
            </w:r>
          </w:p>
        </w:tc>
        <w:tc>
          <w:tcPr>
            <w:tcW w:type="dxa" w:w="1500"/>
            <w:shd w:fill="1F3864" w:val="clear"/>
            <w:tcMar>
              <w:top w:type="dxa" w:w="80"/>
              <w:left w:type="dxa" w:w="100"/>
              <w:bottom w:type="dxa" w:w="80"/>
              <w:right w:type="dxa" w:w="100"/>
            </w:tcMar>
            <w:vAlign w:val="center"/>
          </w:tcPr>
          <w:p>
            <w:r>
              <w:rPr>
                <w:b/>
                <w:bCs/>
                <w:color w:val="FFFFFF"/>
                <w:sz w:val="19"/>
                <w:szCs w:val="19"/>
              </w:rPr>
              <w:t xml:space="preserve">Framework / CMS</w:t>
            </w:r>
          </w:p>
        </w:tc>
        <w:tc>
          <w:tcPr>
            <w:tcW w:type="dxa" w:w="1900"/>
            <w:shd w:fill="1F3864" w:val="clear"/>
            <w:tcMar>
              <w:top w:type="dxa" w:w="80"/>
              <w:left w:type="dxa" w:w="100"/>
              <w:bottom w:type="dxa" w:w="80"/>
              <w:right w:type="dxa" w:w="100"/>
            </w:tcMar>
            <w:vAlign w:val="center"/>
          </w:tcPr>
          <w:p>
            <w:r>
              <w:rPr>
                <w:b/>
                <w:bCs/>
                <w:color w:val="FFFFFF"/>
                <w:sz w:val="19"/>
                <w:szCs w:val="19"/>
              </w:rPr>
              <w:t xml:space="preserve">JavaScript Libraries</w:t>
            </w:r>
          </w:p>
        </w:tc>
        <w:tc>
          <w:tcPr>
            <w:tcW w:type="dxa" w:w="1300"/>
            <w:shd w:fill="1F3864" w:val="clear"/>
            <w:tcMar>
              <w:top w:type="dxa" w:w="80"/>
              <w:left w:type="dxa" w:w="100"/>
              <w:bottom w:type="dxa" w:w="80"/>
              <w:right w:type="dxa" w:w="100"/>
            </w:tcMar>
            <w:vAlign w:val="center"/>
          </w:tcPr>
          <w:p>
            <w:r>
              <w:rPr>
                <w:b/>
                <w:bCs/>
                <w:color w:val="FFFFFF"/>
                <w:sz w:val="19"/>
                <w:szCs w:val="19"/>
              </w:rPr>
              <w:t xml:space="preserve">CDN</w:t>
            </w:r>
          </w:p>
        </w:tc>
        <w:tc>
          <w:tcPr>
            <w:tcW w:type="dxa" w:w="1300"/>
            <w:shd w:fill="1F3864" w:val="clear"/>
            <w:tcMar>
              <w:top w:type="dxa" w:w="80"/>
              <w:left w:type="dxa" w:w="100"/>
              <w:bottom w:type="dxa" w:w="80"/>
              <w:right w:type="dxa" w:w="100"/>
            </w:tcMar>
            <w:vAlign w:val="center"/>
          </w:tcPr>
          <w:p>
            <w:r>
              <w:rPr>
                <w:b/>
                <w:bCs/>
                <w:color w:val="FFFFFF"/>
                <w:sz w:val="19"/>
                <w:szCs w:val="19"/>
              </w:rPr>
              <w:t xml:space="preserve">WAF</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https://indrive.com</w:t>
            </w:r>
          </w:p>
        </w:tc>
        <w:tc>
          <w:tcPr>
            <w:tcW w:type="dxa" w:w="12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500"/>
            <w:tcMar>
              <w:top w:type="dxa" w:w="80"/>
              <w:left w:type="dxa" w:w="100"/>
              <w:bottom w:type="dxa" w:w="80"/>
              <w:right w:type="dxa" w:w="100"/>
            </w:tcMar>
            <w:vAlign w:val="center"/>
          </w:tcPr>
          <w:p>
            <w:r>
              <w:rPr>
                <w:b w:val="false"/>
                <w:bCs w:val="false"/>
                <w:color w:val="000000"/>
                <w:sz w:val="19"/>
                <w:szCs w:val="19"/>
              </w:rPr>
              <w:t xml:space="preserve">HTML5 / Node.js</w:t>
            </w:r>
          </w:p>
        </w:tc>
        <w:tc>
          <w:tcPr>
            <w:tcW w:type="dxa" w:w="1500"/>
            <w:tcMar>
              <w:top w:type="dxa" w:w="80"/>
              <w:left w:type="dxa" w:w="100"/>
              <w:bottom w:type="dxa" w:w="80"/>
              <w:right w:type="dxa" w:w="100"/>
            </w:tcMar>
            <w:vAlign w:val="center"/>
          </w:tcPr>
          <w:p>
            <w:r>
              <w:rPr>
                <w:b w:val="false"/>
                <w:bCs w:val="false"/>
                <w:color w:val="000000"/>
                <w:sz w:val="19"/>
                <w:szCs w:val="19"/>
              </w:rPr>
              <w:t xml:space="preserve">Next.js / React</w:t>
            </w:r>
          </w:p>
        </w:tc>
        <w:tc>
          <w:tcPr>
            <w:tcW w:type="dxa" w:w="1900"/>
            <w:tcMar>
              <w:top w:type="dxa" w:w="80"/>
              <w:left w:type="dxa" w:w="100"/>
              <w:bottom w:type="dxa" w:w="80"/>
              <w:right w:type="dxa" w:w="100"/>
            </w:tcMar>
            <w:vAlign w:val="center"/>
          </w:tcPr>
          <w:p>
            <w:r>
              <w:rPr>
                <w:b w:val="false"/>
                <w:bCs w:val="false"/>
                <w:color w:val="000000"/>
                <w:sz w:val="19"/>
                <w:szCs w:val="19"/>
              </w:rPr>
              <w:t xml:space="preserve">jQuery, Core-js, React DOM</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 WAF</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https://www.indrive.com</w:t>
            </w:r>
          </w:p>
        </w:tc>
        <w:tc>
          <w:tcPr>
            <w:tcW w:type="dxa" w:w="12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500"/>
            <w:tcMar>
              <w:top w:type="dxa" w:w="80"/>
              <w:left w:type="dxa" w:w="100"/>
              <w:bottom w:type="dxa" w:w="80"/>
              <w:right w:type="dxa" w:w="100"/>
            </w:tcMar>
            <w:vAlign w:val="center"/>
          </w:tcPr>
          <w:p>
            <w:r>
              <w:rPr>
                <w:b w:val="false"/>
                <w:bCs w:val="false"/>
                <w:color w:val="000000"/>
                <w:sz w:val="19"/>
                <w:szCs w:val="19"/>
              </w:rPr>
              <w:t xml:space="preserve">HTML5 / Node.js</w:t>
            </w:r>
          </w:p>
        </w:tc>
        <w:tc>
          <w:tcPr>
            <w:tcW w:type="dxa" w:w="1500"/>
            <w:tcMar>
              <w:top w:type="dxa" w:w="80"/>
              <w:left w:type="dxa" w:w="100"/>
              <w:bottom w:type="dxa" w:w="80"/>
              <w:right w:type="dxa" w:w="100"/>
            </w:tcMar>
            <w:vAlign w:val="center"/>
          </w:tcPr>
          <w:p>
            <w:r>
              <w:rPr>
                <w:b w:val="false"/>
                <w:bCs w:val="false"/>
                <w:color w:val="000000"/>
                <w:sz w:val="19"/>
                <w:szCs w:val="19"/>
              </w:rPr>
              <w:t xml:space="preserve">Next.js / React</w:t>
            </w:r>
          </w:p>
        </w:tc>
        <w:tc>
          <w:tcPr>
            <w:tcW w:type="dxa" w:w="1900"/>
            <w:tcMar>
              <w:top w:type="dxa" w:w="80"/>
              <w:left w:type="dxa" w:w="100"/>
              <w:bottom w:type="dxa" w:w="80"/>
              <w:right w:type="dxa" w:w="100"/>
            </w:tcMar>
            <w:vAlign w:val="center"/>
          </w:tcPr>
          <w:p>
            <w:r>
              <w:rPr>
                <w:b w:val="false"/>
                <w:bCs w:val="false"/>
                <w:color w:val="000000"/>
                <w:sz w:val="19"/>
                <w:szCs w:val="19"/>
              </w:rPr>
              <w:t xml:space="preserve">jQuery, Intersection Observer</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 WAF</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https://api.indrive.com</w:t>
            </w:r>
          </w:p>
        </w:tc>
        <w:tc>
          <w:tcPr>
            <w:tcW w:type="dxa" w:w="1200"/>
            <w:tcMar>
              <w:top w:type="dxa" w:w="80"/>
              <w:left w:type="dxa" w:w="100"/>
              <w:bottom w:type="dxa" w:w="80"/>
              <w:right w:type="dxa" w:w="100"/>
            </w:tcMar>
            <w:vAlign w:val="center"/>
          </w:tcPr>
          <w:p>
            <w:r>
              <w:rPr>
                <w:b w:val="false"/>
                <w:bCs w:val="false"/>
                <w:color w:val="000000"/>
                <w:sz w:val="19"/>
                <w:szCs w:val="19"/>
              </w:rPr>
              <w:t xml:space="preserve">Amazon AWS</w:t>
            </w:r>
          </w:p>
        </w:tc>
        <w:tc>
          <w:tcPr>
            <w:tcW w:type="dxa" w:w="1500"/>
            <w:tcMar>
              <w:top w:type="dxa" w:w="80"/>
              <w:left w:type="dxa" w:w="100"/>
              <w:bottom w:type="dxa" w:w="80"/>
              <w:right w:type="dxa" w:w="100"/>
            </w:tcMar>
            <w:vAlign w:val="center"/>
          </w:tcPr>
          <w:p>
            <w:r>
              <w:rPr>
                <w:b w:val="false"/>
                <w:bCs w:val="false"/>
                <w:color w:val="000000"/>
                <w:sz w:val="19"/>
                <w:szCs w:val="19"/>
              </w:rPr>
              <w:t xml:space="preserve">Java / Go</w:t>
            </w:r>
          </w:p>
        </w:tc>
        <w:tc>
          <w:tcPr>
            <w:tcW w:type="dxa" w:w="1500"/>
            <w:tcMar>
              <w:top w:type="dxa" w:w="80"/>
              <w:left w:type="dxa" w:w="100"/>
              <w:bottom w:type="dxa" w:w="80"/>
              <w:right w:type="dxa" w:w="100"/>
            </w:tcMar>
            <w:vAlign w:val="center"/>
          </w:tcPr>
          <w:p>
            <w:r>
              <w:rPr>
                <w:b w:val="false"/>
                <w:bCs w:val="false"/>
                <w:color w:val="000000"/>
                <w:sz w:val="19"/>
                <w:szCs w:val="19"/>
              </w:rPr>
              <w:t xml:space="preserve">None (Custom API)</w:t>
            </w:r>
          </w:p>
        </w:tc>
        <w:tc>
          <w:tcPr>
            <w:tcW w:type="dxa" w:w="1900"/>
            <w:tcMar>
              <w:top w:type="dxa" w:w="80"/>
              <w:left w:type="dxa" w:w="100"/>
              <w:bottom w:type="dxa" w:w="80"/>
              <w:right w:type="dxa" w:w="100"/>
            </w:tcMar>
            <w:vAlign w:val="center"/>
          </w:tcPr>
          <w:p>
            <w:r>
              <w:rPr>
                <w:b w:val="false"/>
                <w:bCs w:val="false"/>
                <w:color w:val="000000"/>
                <w:sz w:val="19"/>
                <w:szCs w:val="19"/>
              </w:rPr>
              <w:t xml:space="preserve">None (Raw JSON)</w:t>
            </w:r>
          </w:p>
        </w:tc>
        <w:tc>
          <w:tcPr>
            <w:tcW w:type="dxa" w:w="1300"/>
            <w:tcMar>
              <w:top w:type="dxa" w:w="80"/>
              <w:left w:type="dxa" w:w="100"/>
              <w:bottom w:type="dxa" w:w="80"/>
              <w:right w:type="dxa" w:w="100"/>
            </w:tcMar>
            <w:vAlign w:val="center"/>
          </w:tcPr>
          <w:p>
            <w:r>
              <w:rPr>
                <w:b w:val="false"/>
                <w:bCs w:val="false"/>
                <w:color w:val="000000"/>
                <w:sz w:val="19"/>
                <w:szCs w:val="19"/>
              </w:rPr>
              <w:t xml:space="preserve">Amazon CloudFront</w:t>
            </w:r>
          </w:p>
        </w:tc>
        <w:tc>
          <w:tcPr>
            <w:tcW w:type="dxa" w:w="1300"/>
            <w:tcMar>
              <w:top w:type="dxa" w:w="80"/>
              <w:left w:type="dxa" w:w="100"/>
              <w:bottom w:type="dxa" w:w="80"/>
              <w:right w:type="dxa" w:w="100"/>
            </w:tcMar>
            <w:vAlign w:val="center"/>
          </w:tcPr>
          <w:p>
            <w:r>
              <w:rPr>
                <w:b w:val="false"/>
                <w:bCs w:val="false"/>
                <w:color w:val="000000"/>
                <w:sz w:val="19"/>
                <w:szCs w:val="19"/>
              </w:rPr>
              <w:t xml:space="preserve">AWS WAF</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https://blog.indrive.com</w:t>
            </w:r>
          </w:p>
        </w:tc>
        <w:tc>
          <w:tcPr>
            <w:tcW w:type="dxa" w:w="1200"/>
            <w:tcMar>
              <w:top w:type="dxa" w:w="80"/>
              <w:left w:type="dxa" w:w="100"/>
              <w:bottom w:type="dxa" w:w="80"/>
              <w:right w:type="dxa" w:w="100"/>
            </w:tcMar>
            <w:vAlign w:val="center"/>
          </w:tcPr>
          <w:p>
            <w:r>
              <w:rPr>
                <w:b w:val="false"/>
                <w:bCs w:val="false"/>
                <w:color w:val="000000"/>
                <w:sz w:val="19"/>
                <w:szCs w:val="19"/>
              </w:rPr>
              <w:t xml:space="preserve">Nginx</w:t>
            </w:r>
          </w:p>
        </w:tc>
        <w:tc>
          <w:tcPr>
            <w:tcW w:type="dxa" w:w="1500"/>
            <w:tcMar>
              <w:top w:type="dxa" w:w="80"/>
              <w:left w:type="dxa" w:w="100"/>
              <w:bottom w:type="dxa" w:w="80"/>
              <w:right w:type="dxa" w:w="100"/>
            </w:tcMar>
            <w:vAlign w:val="center"/>
          </w:tcPr>
          <w:p>
            <w:r>
              <w:rPr>
                <w:b w:val="false"/>
                <w:bCs w:val="false"/>
                <w:color w:val="000000"/>
                <w:sz w:val="19"/>
                <w:szCs w:val="19"/>
              </w:rPr>
              <w:t xml:space="preserve">PHP / MySQL</w:t>
            </w:r>
          </w:p>
        </w:tc>
        <w:tc>
          <w:tcPr>
            <w:tcW w:type="dxa" w:w="1500"/>
            <w:tcMar>
              <w:top w:type="dxa" w:w="80"/>
              <w:left w:type="dxa" w:w="100"/>
              <w:bottom w:type="dxa" w:w="80"/>
              <w:right w:type="dxa" w:w="100"/>
            </w:tcMar>
            <w:vAlign w:val="center"/>
          </w:tcPr>
          <w:p>
            <w:r>
              <w:rPr>
                <w:b w:val="false"/>
                <w:bCs w:val="false"/>
                <w:color w:val="000000"/>
                <w:sz w:val="19"/>
                <w:szCs w:val="19"/>
              </w:rPr>
              <w:t xml:space="preserve">WordPress CMS</w:t>
            </w:r>
          </w:p>
        </w:tc>
        <w:tc>
          <w:tcPr>
            <w:tcW w:type="dxa" w:w="1900"/>
            <w:tcMar>
              <w:top w:type="dxa" w:w="80"/>
              <w:left w:type="dxa" w:w="100"/>
              <w:bottom w:type="dxa" w:w="80"/>
              <w:right w:type="dxa" w:w="100"/>
            </w:tcMar>
            <w:vAlign w:val="center"/>
          </w:tcPr>
          <w:p>
            <w:r>
              <w:rPr>
                <w:b w:val="false"/>
                <w:bCs w:val="false"/>
                <w:color w:val="000000"/>
                <w:sz w:val="19"/>
                <w:szCs w:val="19"/>
              </w:rPr>
              <w:t xml:space="preserve">jQuery, Lodash, GSAP</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 WAF</w:t>
            </w:r>
          </w:p>
        </w:tc>
      </w:tr>
      <w:tr>
        <w:tc>
          <w:tcPr>
            <w:tcW w:type="dxa" w:w="2200"/>
            <w:tcMar>
              <w:top w:type="dxa" w:w="80"/>
              <w:left w:type="dxa" w:w="100"/>
              <w:bottom w:type="dxa" w:w="80"/>
              <w:right w:type="dxa" w:w="100"/>
            </w:tcMar>
            <w:vAlign w:val="center"/>
          </w:tcPr>
          <w:p>
            <w:r>
              <w:rPr>
                <w:b w:val="false"/>
                <w:bCs w:val="false"/>
                <w:color w:val="000000"/>
                <w:sz w:val="19"/>
                <w:szCs w:val="19"/>
              </w:rPr>
              <w:t xml:space="preserve">https://driver.indrive.com</w:t>
            </w:r>
          </w:p>
        </w:tc>
        <w:tc>
          <w:tcPr>
            <w:tcW w:type="dxa" w:w="1200"/>
            <w:tcMar>
              <w:top w:type="dxa" w:w="80"/>
              <w:left w:type="dxa" w:w="100"/>
              <w:bottom w:type="dxa" w:w="80"/>
              <w:right w:type="dxa" w:w="100"/>
            </w:tcMar>
            <w:vAlign w:val="center"/>
          </w:tcPr>
          <w:p>
            <w:r>
              <w:rPr>
                <w:b w:val="false"/>
                <w:bCs w:val="false"/>
                <w:color w:val="000000"/>
                <w:sz w:val="19"/>
                <w:szCs w:val="19"/>
              </w:rPr>
              <w:t xml:space="preserve">Nginx</w:t>
            </w:r>
          </w:p>
        </w:tc>
        <w:tc>
          <w:tcPr>
            <w:tcW w:type="dxa" w:w="1500"/>
            <w:tcMar>
              <w:top w:type="dxa" w:w="80"/>
              <w:left w:type="dxa" w:w="100"/>
              <w:bottom w:type="dxa" w:w="80"/>
              <w:right w:type="dxa" w:w="100"/>
            </w:tcMar>
            <w:vAlign w:val="center"/>
          </w:tcPr>
          <w:p>
            <w:r>
              <w:rPr>
                <w:b w:val="false"/>
                <w:bCs w:val="false"/>
                <w:color w:val="000000"/>
                <w:sz w:val="19"/>
                <w:szCs w:val="19"/>
              </w:rPr>
              <w:t xml:space="preserve">Python / JavaScript</w:t>
            </w:r>
          </w:p>
        </w:tc>
        <w:tc>
          <w:tcPr>
            <w:tcW w:type="dxa" w:w="1500"/>
            <w:tcMar>
              <w:top w:type="dxa" w:w="80"/>
              <w:left w:type="dxa" w:w="100"/>
              <w:bottom w:type="dxa" w:w="80"/>
              <w:right w:type="dxa" w:w="100"/>
            </w:tcMar>
            <w:vAlign w:val="center"/>
          </w:tcPr>
          <w:p>
            <w:r>
              <w:rPr>
                <w:b w:val="false"/>
                <w:bCs w:val="false"/>
                <w:color w:val="000000"/>
                <w:sz w:val="19"/>
                <w:szCs w:val="19"/>
              </w:rPr>
              <w:t xml:space="preserve">React Framework</w:t>
            </w:r>
          </w:p>
        </w:tc>
        <w:tc>
          <w:tcPr>
            <w:tcW w:type="dxa" w:w="1900"/>
            <w:tcMar>
              <w:top w:type="dxa" w:w="80"/>
              <w:left w:type="dxa" w:w="100"/>
              <w:bottom w:type="dxa" w:w="80"/>
              <w:right w:type="dxa" w:w="100"/>
            </w:tcMar>
            <w:vAlign w:val="center"/>
          </w:tcPr>
          <w:p>
            <w:r>
              <w:rPr>
                <w:b w:val="false"/>
                <w:bCs w:val="false"/>
                <w:color w:val="000000"/>
                <w:sz w:val="19"/>
                <w:szCs w:val="19"/>
              </w:rPr>
              <w:t xml:space="preserve">Webpack, Polyfill</w:t>
            </w:r>
          </w:p>
        </w:tc>
        <w:tc>
          <w:tcPr>
            <w:tcW w:type="dxa" w:w="1300"/>
            <w:tcMar>
              <w:top w:type="dxa" w:w="80"/>
              <w:left w:type="dxa" w:w="100"/>
              <w:bottom w:type="dxa" w:w="80"/>
              <w:right w:type="dxa" w:w="100"/>
            </w:tcMar>
            <w:vAlign w:val="center"/>
          </w:tcPr>
          <w:p>
            <w:r>
              <w:rPr>
                <w:b w:val="false"/>
                <w:bCs w:val="false"/>
                <w:color w:val="000000"/>
                <w:sz w:val="19"/>
                <w:szCs w:val="19"/>
              </w:rPr>
              <w:t xml:space="preserve">Akamai / Cloudflare</w:t>
            </w:r>
          </w:p>
        </w:tc>
        <w:tc>
          <w:tcPr>
            <w:tcW w:type="dxa" w:w="1300"/>
            <w:tcMar>
              <w:top w:type="dxa" w:w="80"/>
              <w:left w:type="dxa" w:w="100"/>
              <w:bottom w:type="dxa" w:w="80"/>
              <w:right w:type="dxa" w:w="100"/>
            </w:tcMar>
            <w:vAlign w:val="center"/>
          </w:tcPr>
          <w:p>
            <w:r>
              <w:rPr>
                <w:b w:val="false"/>
                <w:bCs w:val="false"/>
                <w:color w:val="000000"/>
                <w:sz w:val="19"/>
                <w:szCs w:val="19"/>
              </w:rPr>
              <w:t xml:space="preserve">Cloudflare WAF</w:t>
            </w:r>
          </w:p>
        </w:tc>
      </w:tr>
    </w:tbl>
    <w:p>
      <w:pPr>
        <w:spacing w:after="80" w:before="20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762250"/>
                    </a:xfrm>
                    <a:prstGeom prst="rect">
                      <a:avLst/>
                    </a:prstGeom>
                  </pic:spPr>
                </pic:pic>
              </a:graphicData>
            </a:graphic>
          </wp:inline>
        </w:drawing>
      </w:r>
    </w:p>
    <w:p>
      <w:pPr>
        <w:spacing w:after="200"/>
        <w:jc w:val="center"/>
      </w:pPr>
      <w:r>
        <w:rPr>
          <w:i/>
          <w:iCs/>
          <w:color w:val="555555"/>
          <w:sz w:val="18"/>
          <w:szCs w:val="18"/>
        </w:rPr>
        <w:t xml:space="preserve">Figure 7.1 — Technology fingerprinting inventory table.</w:t>
      </w:r>
    </w:p>
    <w:p>
      <w:pPr>
        <w:spacing w:after="150"/>
      </w:pPr>
      <w:r>
        <w:t xml:space="preserve">Key observation: api.indrive.com is the only asset running a custom Java/Go backend directly behind Amazon CloudFront with AWS WAF, distinct from the Cloudflare-fronted Next.js/React front-end properties. This separation of the API gateway from the marketing/web front end is a sound architectural pattern, but it also means the API surface is the most bespoke — and therefore the least "battle-tested" by generic WAF rulesets — component of the stack.</w:t>
      </w:r>
    </w:p>
    <w:p>
      <w:pPr>
        <w:pStyle w:val="Heading1"/>
        <w:spacing w:after="200" w:before="400"/>
      </w:pPr>
      <w:r>
        <w:t xml:space="preserve">Task 8 — Attack Surface Mapping</w:t>
      </w:r>
    </w:p>
    <w:p>
      <w:pPr>
        <w:spacing w:after="150"/>
      </w:pPr>
      <w:r>
        <w:t xml:space="preserve">A layered attack-surface diagram was produced summarizing the reconnaissance findings: the entrance layer (DNS/CDN/WAF), the front-end web applications, the core API/backend services, the email/communication infrastructure, and the external bug bounty program that formally authorizes security research against the estate.</w:t>
      </w:r>
    </w:p>
    <w:p>
      <w:pPr>
        <w:spacing w:after="80" w:before="200"/>
        <w:jc w:val="center"/>
      </w:pPr>
      <w:r>
        <w:drawing>
          <wp:inline distT="0" distB="0" distL="0" distR="0">
            <wp:extent cx="5334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86075"/>
                    </a:xfrm>
                    <a:prstGeom prst="rect">
                      <a:avLst/>
                    </a:prstGeom>
                  </pic:spPr>
                </pic:pic>
              </a:graphicData>
            </a:graphic>
          </wp:inline>
        </w:drawing>
      </w:r>
    </w:p>
    <w:p>
      <w:pPr>
        <w:spacing w:after="200"/>
        <w:jc w:val="center"/>
      </w:pPr>
      <w:r>
        <w:rPr>
          <w:i/>
          <w:iCs/>
          <w:color w:val="555555"/>
          <w:sz w:val="18"/>
          <w:szCs w:val="18"/>
        </w:rPr>
        <w:t xml:space="preserve">Figure 8.1 — indrive.com digital attack surface map, showing DNS/CDN/WAF entrance layer, front-end web applications, core API services, email infrastructure, and the HackerOne bug bounty program as the authorized external entry point for research.</w:t>
      </w:r>
    </w:p>
    <w:p>
      <w:pPr>
        <w:pStyle w:val="Heading2"/>
        <w:spacing w:after="150" w:before="300"/>
      </w:pPr>
      <w:r>
        <w:t xml:space="preserve">8.1 Layer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6600"/>
            <w:shd w:fill="1F3864" w:val="clear"/>
            <w:tcMar>
              <w:top w:type="dxa" w:w="80"/>
              <w:left w:type="dxa" w:w="100"/>
              <w:bottom w:type="dxa" w:w="80"/>
              <w:right w:type="dxa" w:w="100"/>
            </w:tcMar>
            <w:vAlign w:val="center"/>
          </w:tcPr>
          <w:p>
            <w:r>
              <w:rPr>
                <w:b/>
                <w:bCs/>
                <w:color w:val="FFFFFF"/>
                <w:sz w:val="19"/>
                <w:szCs w:val="19"/>
              </w:rPr>
              <w:t xml:space="preserve">Components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Layer 1 — Entrance</w:t>
            </w:r>
          </w:p>
        </w:tc>
        <w:tc>
          <w:tcPr>
            <w:tcW w:type="dxa" w:w="6600"/>
            <w:tcMar>
              <w:top w:type="dxa" w:w="80"/>
              <w:left w:type="dxa" w:w="100"/>
              <w:bottom w:type="dxa" w:w="80"/>
              <w:right w:type="dxa" w:w="100"/>
            </w:tcMar>
            <w:vAlign w:val="center"/>
          </w:tcPr>
          <w:p>
            <w:r>
              <w:rPr>
                <w:b w:val="false"/>
                <w:bCs w:val="false"/>
                <w:color w:val="000000"/>
                <w:sz w:val="19"/>
                <w:szCs w:val="19"/>
              </w:rPr>
              <w:t xml:space="preserve">Root domain (indrive.com), Cloudflare reverse proxy, Cloudflare WAF + AWS WAF, Google Domains / Route 53 nameservers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Layer 2 — Web Applications</w:t>
            </w:r>
          </w:p>
        </w:tc>
        <w:tc>
          <w:tcPr>
            <w:tcW w:type="dxa" w:w="6600"/>
            <w:tcMar>
              <w:top w:type="dxa" w:w="80"/>
              <w:left w:type="dxa" w:w="100"/>
              <w:bottom w:type="dxa" w:w="80"/>
              <w:right w:type="dxa" w:w="100"/>
            </w:tcMar>
            <w:vAlign w:val="center"/>
          </w:tcPr>
          <w:p>
            <w:r>
              <w:rPr>
                <w:b w:val="false"/>
                <w:bCs w:val="false"/>
                <w:color w:val="000000"/>
                <w:sz w:val="19"/>
                <w:szCs w:val="19"/>
              </w:rPr>
              <w:t xml:space="preserve">www.indrive.com (Next.js/React), blog.indrive.com (WordPress), driver.indrive.com (React onboarding)</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Layer 3 — Core API Services</w:t>
            </w:r>
          </w:p>
        </w:tc>
        <w:tc>
          <w:tcPr>
            <w:tcW w:type="dxa" w:w="6600"/>
            <w:tcMar>
              <w:top w:type="dxa" w:w="80"/>
              <w:left w:type="dxa" w:w="100"/>
              <w:bottom w:type="dxa" w:w="80"/>
              <w:right w:type="dxa" w:w="100"/>
            </w:tcMar>
            <w:vAlign w:val="center"/>
          </w:tcPr>
          <w:p>
            <w:r>
              <w:rPr>
                <w:b w:val="false"/>
                <w:bCs w:val="false"/>
                <w:color w:val="000000"/>
                <w:sz w:val="19"/>
                <w:szCs w:val="19"/>
              </w:rPr>
              <w:t xml:space="preserve">api.indrive.com (Java/Go, Amazon AWS) fronting internal GraphQL gateways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Layer 4 — Email &amp; Communication</w:t>
            </w:r>
          </w:p>
        </w:tc>
        <w:tc>
          <w:tcPr>
            <w:tcW w:type="dxa" w:w="6600"/>
            <w:tcMar>
              <w:top w:type="dxa" w:w="80"/>
              <w:left w:type="dxa" w:w="100"/>
              <w:bottom w:type="dxa" w:w="80"/>
              <w:right w:type="dxa" w:w="100"/>
            </w:tcMar>
            <w:vAlign w:val="center"/>
          </w:tcPr>
          <w:p>
            <w:r>
              <w:rPr>
                <w:b w:val="false"/>
                <w:bCs w:val="false"/>
                <w:color w:val="000000"/>
                <w:sz w:val="19"/>
                <w:szCs w:val="19"/>
              </w:rPr>
              <w:t xml:space="preserve">Google Workspace, Amazon SES, Mandrill, Salesforce — all authorized via SPF (v=spf1 ... -all)</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Layer 5 — External Platforms</w:t>
            </w:r>
          </w:p>
        </w:tc>
        <w:tc>
          <w:tcPr>
            <w:tcW w:type="dxa" w:w="6600"/>
            <w:tcMar>
              <w:top w:type="dxa" w:w="80"/>
              <w:left w:type="dxa" w:w="100"/>
              <w:bottom w:type="dxa" w:w="80"/>
              <w:right w:type="dxa" w:w="100"/>
            </w:tcMar>
            <w:vAlign w:val="center"/>
          </w:tcPr>
          <w:p>
            <w:r>
              <w:rPr>
                <w:b w:val="false"/>
                <w:bCs w:val="false"/>
                <w:color w:val="000000"/>
                <w:sz w:val="19"/>
                <w:szCs w:val="19"/>
              </w:rPr>
              <w:t xml:space="preserve">hackerone.com/indrive — the authorized entry point for security researchers</w:t>
            </w:r>
          </w:p>
        </w:tc>
      </w:tr>
    </w:tbl>
    <w:p>
      <w:pPr>
        <w:pStyle w:val="Heading1"/>
        <w:spacing w:after="200" w:before="400"/>
      </w:pPr>
      <w:r>
        <w:t xml:space="preserve">Task 9 — Risk Identification</w:t>
      </w:r>
    </w:p>
    <w:p>
      <w:pPr>
        <w:spacing w:after="150"/>
      </w:pPr>
      <w:r>
        <w:t xml:space="preserve">Based solely on the passive reconnaissance and OSINT findings above — with no exploitation performed — the following ten potential security risks were identified for indrive.com.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500"/>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Potential Security Risk</w:t>
            </w:r>
          </w:p>
        </w:tc>
        <w:tc>
          <w:tcPr>
            <w:tcW w:type="dxa" w:w="2600"/>
            <w:shd w:fill="1F3864" w:val="clear"/>
            <w:tcMar>
              <w:top w:type="dxa" w:w="80"/>
              <w:left w:type="dxa" w:w="100"/>
              <w:bottom w:type="dxa" w:w="80"/>
              <w:right w:type="dxa" w:w="100"/>
            </w:tcMar>
            <w:vAlign w:val="center"/>
          </w:tcPr>
          <w:p>
            <w:r>
              <w:rPr>
                <w:b/>
                <w:bCs/>
                <w:color w:val="FFFFFF"/>
                <w:sz w:val="19"/>
                <w:szCs w:val="19"/>
              </w:rPr>
              <w:t xml:space="preserve">Description of Issue</w:t>
            </w:r>
          </w:p>
        </w:tc>
        <w:tc>
          <w:tcPr>
            <w:tcW w:type="dxa" w:w="2400"/>
            <w:shd w:fill="1F3864" w:val="clear"/>
            <w:tcMar>
              <w:top w:type="dxa" w:w="80"/>
              <w:left w:type="dxa" w:w="100"/>
              <w:bottom w:type="dxa" w:w="80"/>
              <w:right w:type="dxa" w:w="100"/>
            </w:tcMar>
            <w:vAlign w:val="center"/>
          </w:tcPr>
          <w:p>
            <w:r>
              <w:rPr>
                <w:b/>
                <w:bCs/>
                <w:color w:val="FFFFFF"/>
                <w:sz w:val="19"/>
                <w:szCs w:val="19"/>
              </w:rPr>
              <w:t xml:space="preserve">Potential Impact</w:t>
            </w:r>
          </w:p>
        </w:tc>
        <w:tc>
          <w:tcPr>
            <w:tcW w:type="dxa" w:w="2500"/>
            <w:shd w:fill="1F3864" w:val="clear"/>
            <w:tcMar>
              <w:top w:type="dxa" w:w="80"/>
              <w:left w:type="dxa" w:w="100"/>
              <w:bottom w:type="dxa" w:w="80"/>
              <w:right w:type="dxa" w:w="100"/>
            </w:tcMar>
            <w:vAlign w:val="center"/>
          </w:tcPr>
          <w:p>
            <w:r>
              <w:rPr>
                <w:b/>
                <w:bCs/>
                <w:color w:val="FFFFFF"/>
                <w:sz w:val="19"/>
                <w:szCs w:val="19"/>
              </w:rPr>
              <w:t xml:space="preserve">Recommended Mitigation</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1. Large, undocumented subdomain footprint</w:t>
            </w:r>
          </w:p>
        </w:tc>
        <w:tc>
          <w:tcPr>
            <w:tcW w:type="dxa" w:w="2600"/>
            <w:tcMar>
              <w:top w:type="dxa" w:w="80"/>
              <w:left w:type="dxa" w:w="100"/>
              <w:bottom w:type="dxa" w:w="80"/>
              <w:right w:type="dxa" w:w="100"/>
            </w:tcMar>
            <w:vAlign w:val="center"/>
          </w:tcPr>
          <w:p>
            <w:r>
              <w:rPr>
                <w:b w:val="false"/>
                <w:bCs w:val="false"/>
                <w:color w:val="000000"/>
                <w:sz w:val="19"/>
                <w:szCs w:val="19"/>
              </w:rPr>
              <w:t xml:space="preserve">70+ subdomains were discovered across development, marketing, regional, and campaign use cases — far more than a typical inventory would expect to track.</w:t>
            </w:r>
          </w:p>
        </w:tc>
        <w:tc>
          <w:tcPr>
            <w:tcW w:type="dxa" w:w="2400"/>
            <w:tcMar>
              <w:top w:type="dxa" w:w="80"/>
              <w:left w:type="dxa" w:w="100"/>
              <w:bottom w:type="dxa" w:w="80"/>
              <w:right w:type="dxa" w:w="100"/>
            </w:tcMar>
            <w:vAlign w:val="center"/>
          </w:tcPr>
          <w:p>
            <w:r>
              <w:rPr>
                <w:b w:val="false"/>
                <w:bCs w:val="false"/>
                <w:color w:val="000000"/>
                <w:sz w:val="19"/>
                <w:szCs w:val="19"/>
              </w:rPr>
              <w:t xml:space="preserve">Increases the chance of a forgotten, unpatched, or misconfigured host being exploited before it is even noticed by the security team.</w:t>
            </w:r>
          </w:p>
        </w:tc>
        <w:tc>
          <w:tcPr>
            <w:tcW w:type="dxa" w:w="2500"/>
            <w:tcMar>
              <w:top w:type="dxa" w:w="80"/>
              <w:left w:type="dxa" w:w="100"/>
              <w:bottom w:type="dxa" w:w="80"/>
              <w:right w:type="dxa" w:w="100"/>
            </w:tcMar>
            <w:vAlign w:val="center"/>
          </w:tcPr>
          <w:p>
            <w:r>
              <w:rPr>
                <w:b w:val="false"/>
                <w:bCs w:val="false"/>
                <w:color w:val="000000"/>
                <w:sz w:val="19"/>
                <w:szCs w:val="19"/>
              </w:rPr>
              <w:t xml:space="preserve">Maintain a living asset inventory fed by continuous subdomain monitoring (e.g., scheduled Subfinder/Amass/crt.sh sweeps) and retire unused hosts.</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2. Development/QA/sandbox hosts reachable on the public internet</w:t>
            </w:r>
          </w:p>
        </w:tc>
        <w:tc>
          <w:tcPr>
            <w:tcW w:type="dxa" w:w="2600"/>
            <w:tcMar>
              <w:top w:type="dxa" w:w="80"/>
              <w:left w:type="dxa" w:w="100"/>
              <w:bottom w:type="dxa" w:w="80"/>
              <w:right w:type="dxa" w:w="100"/>
            </w:tcMar>
            <w:vAlign w:val="center"/>
          </w:tcPr>
          <w:p>
            <w:r>
              <w:rPr>
                <w:b w:val="false"/>
                <w:bCs w:val="false"/>
                <w:color w:val="000000"/>
                <w:sz w:val="19"/>
                <w:szCs w:val="19"/>
              </w:rPr>
              <w:t xml:space="preserve">wildcard.internal.dev.delivery.indrive.com, qa.delivery.indrive.com, sandbox.delivery.indrive.com, inlab.indrive.com, sparklab.indrive.com were all publicly resolvable.</w:t>
            </w:r>
          </w:p>
        </w:tc>
        <w:tc>
          <w:tcPr>
            <w:tcW w:type="dxa" w:w="2400"/>
            <w:tcMar>
              <w:top w:type="dxa" w:w="80"/>
              <w:left w:type="dxa" w:w="100"/>
              <w:bottom w:type="dxa" w:w="80"/>
              <w:right w:type="dxa" w:w="100"/>
            </w:tcMar>
            <w:vAlign w:val="center"/>
          </w:tcPr>
          <w:p>
            <w:r>
              <w:rPr>
                <w:b w:val="false"/>
                <w:bCs w:val="false"/>
                <w:color w:val="000000"/>
                <w:sz w:val="19"/>
                <w:szCs w:val="19"/>
              </w:rPr>
              <w:t xml:space="preserve">Non-production environments often run debug modes, verbose error messages, or weaker authentication, giving attackers an easier foothold than production.</w:t>
            </w:r>
          </w:p>
        </w:tc>
        <w:tc>
          <w:tcPr>
            <w:tcW w:type="dxa" w:w="2500"/>
            <w:tcMar>
              <w:top w:type="dxa" w:w="80"/>
              <w:left w:type="dxa" w:w="100"/>
              <w:bottom w:type="dxa" w:w="80"/>
              <w:right w:type="dxa" w:w="100"/>
            </w:tcMar>
            <w:vAlign w:val="center"/>
          </w:tcPr>
          <w:p>
            <w:r>
              <w:rPr>
                <w:b w:val="false"/>
                <w:bCs w:val="false"/>
                <w:color w:val="000000"/>
                <w:sz w:val="19"/>
                <w:szCs w:val="19"/>
              </w:rPr>
              <w:t xml:space="preserve">Restrict dev/QA/sandbox hostnames to VPN or IP-allowlisted access; remove public DNS records where not required.</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3. S3 bucket returning HTTP 401 on s.indrive.com</w:t>
            </w:r>
          </w:p>
        </w:tc>
        <w:tc>
          <w:tcPr>
            <w:tcW w:type="dxa" w:w="2600"/>
            <w:tcMar>
              <w:top w:type="dxa" w:w="80"/>
              <w:left w:type="dxa" w:w="100"/>
              <w:bottom w:type="dxa" w:w="80"/>
              <w:right w:type="dxa" w:w="100"/>
            </w:tcMar>
            <w:vAlign w:val="center"/>
          </w:tcPr>
          <w:p>
            <w:r>
              <w:rPr>
                <w:b w:val="false"/>
                <w:bCs w:val="false"/>
                <w:color w:val="000000"/>
                <w:sz w:val="19"/>
                <w:szCs w:val="19"/>
              </w:rPr>
              <w:t xml:space="preserve">The storage subdomain responded with AmazonS3 401 Unauthorized rather than a clean DNS failure, confirming a live S3-backed resource.</w:t>
            </w:r>
          </w:p>
        </w:tc>
        <w:tc>
          <w:tcPr>
            <w:tcW w:type="dxa" w:w="2400"/>
            <w:tcMar>
              <w:top w:type="dxa" w:w="80"/>
              <w:left w:type="dxa" w:w="100"/>
              <w:bottom w:type="dxa" w:w="80"/>
              <w:right w:type="dxa" w:w="100"/>
            </w:tcMar>
            <w:vAlign w:val="center"/>
          </w:tcPr>
          <w:p>
            <w:r>
              <w:rPr>
                <w:b w:val="false"/>
                <w:bCs w:val="false"/>
                <w:color w:val="000000"/>
                <w:sz w:val="19"/>
                <w:szCs w:val="19"/>
              </w:rPr>
              <w:t xml:space="preserve">A misconfigured bucket policy could later expose stored objects publicly; 401 today does not guarantee 403/private tomorrow.</w:t>
            </w:r>
          </w:p>
        </w:tc>
        <w:tc>
          <w:tcPr>
            <w:tcW w:type="dxa" w:w="2500"/>
            <w:tcMar>
              <w:top w:type="dxa" w:w="80"/>
              <w:left w:type="dxa" w:w="100"/>
              <w:bottom w:type="dxa" w:w="80"/>
              <w:right w:type="dxa" w:w="100"/>
            </w:tcMar>
            <w:vAlign w:val="center"/>
          </w:tcPr>
          <w:p>
            <w:r>
              <w:rPr>
                <w:b w:val="false"/>
                <w:bCs w:val="false"/>
                <w:color w:val="000000"/>
                <w:sz w:val="19"/>
                <w:szCs w:val="19"/>
              </w:rPr>
              <w:t xml:space="preserve">Periodically audit S3 bucket policies and Block Public Access settings for all buckets referenced by inDrive subdomains.</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4. Inconsistent web server / hardening across the estate</w:t>
            </w:r>
          </w:p>
        </w:tc>
        <w:tc>
          <w:tcPr>
            <w:tcW w:type="dxa" w:w="2600"/>
            <w:tcMar>
              <w:top w:type="dxa" w:w="80"/>
              <w:left w:type="dxa" w:w="100"/>
              <w:bottom w:type="dxa" w:w="80"/>
              <w:right w:type="dxa" w:w="100"/>
            </w:tcMar>
            <w:vAlign w:val="center"/>
          </w:tcPr>
          <w:p>
            <w:r>
              <w:rPr>
                <w:b w:val="false"/>
                <w:bCs w:val="false"/>
                <w:color w:val="000000"/>
                <w:sz w:val="19"/>
                <w:szCs w:val="19"/>
              </w:rPr>
              <w:t xml:space="preserve">careers.indrive.com runs bare Apache 2.4.58, while most other hosts sit behind Cloudflare + nginx or Envoy — a clear deviation from the standard front-end pattern.</w:t>
            </w:r>
          </w:p>
        </w:tc>
        <w:tc>
          <w:tcPr>
            <w:tcW w:type="dxa" w:w="2400"/>
            <w:tcMar>
              <w:top w:type="dxa" w:w="80"/>
              <w:left w:type="dxa" w:w="100"/>
              <w:bottom w:type="dxa" w:w="80"/>
              <w:right w:type="dxa" w:w="100"/>
            </w:tcMar>
            <w:vAlign w:val="center"/>
          </w:tcPr>
          <w:p>
            <w:r>
              <w:rPr>
                <w:b w:val="false"/>
                <w:bCs w:val="false"/>
                <w:color w:val="000000"/>
                <w:sz w:val="19"/>
                <w:szCs w:val="19"/>
              </w:rPr>
              <w:t xml:space="preserve">The outlier host may not benefit from the same WAF rules, rate limiting, or patch cadence as the rest of the fleet.</w:t>
            </w:r>
          </w:p>
        </w:tc>
        <w:tc>
          <w:tcPr>
            <w:tcW w:type="dxa" w:w="2500"/>
            <w:tcMar>
              <w:top w:type="dxa" w:w="80"/>
              <w:left w:type="dxa" w:w="100"/>
              <w:bottom w:type="dxa" w:w="80"/>
              <w:right w:type="dxa" w:w="100"/>
            </w:tcMar>
            <w:vAlign w:val="center"/>
          </w:tcPr>
          <w:p>
            <w:r>
              <w:rPr>
                <w:b w:val="false"/>
                <w:bCs w:val="false"/>
                <w:color w:val="000000"/>
                <w:sz w:val="19"/>
                <w:szCs w:val="19"/>
              </w:rPr>
              <w:t xml:space="preserve">Bring all public-facing hosts behind the same CDN/WAF baseline, or document and separately harden any exception.</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5. Identity/KYC subdomain publicly exposed</w:t>
            </w:r>
          </w:p>
        </w:tc>
        <w:tc>
          <w:tcPr>
            <w:tcW w:type="dxa" w:w="2600"/>
            <w:tcMar>
              <w:top w:type="dxa" w:w="80"/>
              <w:left w:type="dxa" w:w="100"/>
              <w:bottom w:type="dxa" w:w="80"/>
              <w:right w:type="dxa" w:w="100"/>
            </w:tcMar>
            <w:vAlign w:val="center"/>
          </w:tcPr>
          <w:p>
            <w:r>
              <w:rPr>
                <w:b w:val="false"/>
                <w:bCs w:val="false"/>
                <w:color w:val="000000"/>
                <w:sz w:val="19"/>
                <w:szCs w:val="19"/>
              </w:rPr>
              <w:t xml:space="preserve">user-identification.invision.indrive.com and id.indrive.com were both discoverable and resolvable, handling identity verification / login for drivers and users.</w:t>
            </w:r>
          </w:p>
        </w:tc>
        <w:tc>
          <w:tcPr>
            <w:tcW w:type="dxa" w:w="2400"/>
            <w:tcMar>
              <w:top w:type="dxa" w:w="80"/>
              <w:left w:type="dxa" w:w="100"/>
              <w:bottom w:type="dxa" w:w="80"/>
              <w:right w:type="dxa" w:w="100"/>
            </w:tcMar>
            <w:vAlign w:val="center"/>
          </w:tcPr>
          <w:p>
            <w:r>
              <w:rPr>
                <w:b w:val="false"/>
                <w:bCs w:val="false"/>
                <w:color w:val="000000"/>
                <w:sz w:val="19"/>
                <w:szCs w:val="19"/>
              </w:rPr>
              <w:t xml:space="preserve">These endpoints process sensitive PII (identity documents); any vulnerability here has outsized privacy impact.</w:t>
            </w:r>
          </w:p>
        </w:tc>
        <w:tc>
          <w:tcPr>
            <w:tcW w:type="dxa" w:w="2500"/>
            <w:tcMar>
              <w:top w:type="dxa" w:w="80"/>
              <w:left w:type="dxa" w:w="100"/>
              <w:bottom w:type="dxa" w:w="80"/>
              <w:right w:type="dxa" w:w="100"/>
            </w:tcMar>
            <w:vAlign w:val="center"/>
          </w:tcPr>
          <w:p>
            <w:r>
              <w:rPr>
                <w:b w:val="false"/>
                <w:bCs w:val="false"/>
                <w:color w:val="000000"/>
                <w:sz w:val="19"/>
                <w:szCs w:val="19"/>
              </w:rPr>
              <w:t xml:space="preserve">Apply extra monitoring, rate-limiting, and periodic third-party testing specifically to identity-verification endpoints.</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6. Third-party email-sending services broadening the SPF trust boundary</w:t>
            </w:r>
          </w:p>
        </w:tc>
        <w:tc>
          <w:tcPr>
            <w:tcW w:type="dxa" w:w="2600"/>
            <w:tcMar>
              <w:top w:type="dxa" w:w="80"/>
              <w:left w:type="dxa" w:w="100"/>
              <w:bottom w:type="dxa" w:w="80"/>
              <w:right w:type="dxa" w:w="100"/>
            </w:tcMar>
            <w:vAlign w:val="center"/>
          </w:tcPr>
          <w:p>
            <w:r>
              <w:rPr>
                <w:b w:val="false"/>
                <w:bCs w:val="false"/>
                <w:color w:val="000000"/>
                <w:sz w:val="19"/>
                <w:szCs w:val="19"/>
              </w:rPr>
              <w:t xml:space="preserve">SPF authorizes Google, Amazon SES, Mandrill, and Salesforce as senders on behalf of indrive.com.</w:t>
            </w:r>
          </w:p>
        </w:tc>
        <w:tc>
          <w:tcPr>
            <w:tcW w:type="dxa" w:w="2400"/>
            <w:tcMar>
              <w:top w:type="dxa" w:w="80"/>
              <w:left w:type="dxa" w:w="100"/>
              <w:bottom w:type="dxa" w:w="80"/>
              <w:right w:type="dxa" w:w="100"/>
            </w:tcMar>
            <w:vAlign w:val="center"/>
          </w:tcPr>
          <w:p>
            <w:r>
              <w:rPr>
                <w:b w:val="false"/>
                <w:bCs w:val="false"/>
                <w:color w:val="000000"/>
                <w:sz w:val="19"/>
                <w:szCs w:val="19"/>
              </w:rPr>
              <w:t xml:space="preserve">A compromise of any one of these third-party accounts could be used to send spoofed, SPF-passing email as indrive.com.</w:t>
            </w:r>
          </w:p>
        </w:tc>
        <w:tc>
          <w:tcPr>
            <w:tcW w:type="dxa" w:w="2500"/>
            <w:tcMar>
              <w:top w:type="dxa" w:w="80"/>
              <w:left w:type="dxa" w:w="100"/>
              <w:bottom w:type="dxa" w:w="80"/>
              <w:right w:type="dxa" w:w="100"/>
            </w:tcMar>
            <w:vAlign w:val="center"/>
          </w:tcPr>
          <w:p>
            <w:r>
              <w:rPr>
                <w:b w:val="false"/>
                <w:bCs w:val="false"/>
                <w:color w:val="000000"/>
                <w:sz w:val="19"/>
                <w:szCs w:val="19"/>
              </w:rPr>
              <w:t xml:space="preserve">Regularly review and prune the SPF include list; enforce DMARC with a reject/quarantine policy and monitor DMARC aggregate reports.</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7. DMARC/DKIM status not confirmed</w:t>
            </w:r>
          </w:p>
        </w:tc>
        <w:tc>
          <w:tcPr>
            <w:tcW w:type="dxa" w:w="2600"/>
            <w:tcMar>
              <w:top w:type="dxa" w:w="80"/>
              <w:left w:type="dxa" w:w="100"/>
              <w:bottom w:type="dxa" w:w="80"/>
              <w:right w:type="dxa" w:w="100"/>
            </w:tcMar>
            <w:vAlign w:val="center"/>
          </w:tcPr>
          <w:p>
            <w:r>
              <w:rPr>
                <w:b w:val="false"/>
                <w:bCs w:val="false"/>
                <w:color w:val="000000"/>
                <w:sz w:val="19"/>
                <w:szCs w:val="19"/>
              </w:rPr>
              <w:t xml:space="preserve">Only an SPF TXT record and domain-verification tokens were observed in the DNS TXT dump; no DMARC (_dmarc) or DKIM selector record was captured.</w:t>
            </w:r>
          </w:p>
        </w:tc>
        <w:tc>
          <w:tcPr>
            <w:tcW w:type="dxa" w:w="2400"/>
            <w:tcMar>
              <w:top w:type="dxa" w:w="80"/>
              <w:left w:type="dxa" w:w="100"/>
              <w:bottom w:type="dxa" w:w="80"/>
              <w:right w:type="dxa" w:w="100"/>
            </w:tcMar>
            <w:vAlign w:val="center"/>
          </w:tcPr>
          <w:p>
            <w:r>
              <w:rPr>
                <w:b w:val="false"/>
                <w:bCs w:val="false"/>
                <w:color w:val="000000"/>
                <w:sz w:val="19"/>
                <w:szCs w:val="19"/>
              </w:rPr>
              <w:t xml:space="preserve">Without an enforced DMARC policy, SPF alone provides limited protection against display-name spoofing and phishing using look-alike sending paths.</w:t>
            </w:r>
          </w:p>
        </w:tc>
        <w:tc>
          <w:tcPr>
            <w:tcW w:type="dxa" w:w="2500"/>
            <w:tcMar>
              <w:top w:type="dxa" w:w="80"/>
              <w:left w:type="dxa" w:w="100"/>
              <w:bottom w:type="dxa" w:w="80"/>
              <w:right w:type="dxa" w:w="100"/>
            </w:tcMar>
            <w:vAlign w:val="center"/>
          </w:tcPr>
          <w:p>
            <w:r>
              <w:rPr>
                <w:b w:val="false"/>
                <w:bCs w:val="false"/>
                <w:color w:val="000000"/>
                <w:sz w:val="19"/>
                <w:szCs w:val="19"/>
              </w:rPr>
              <w:t xml:space="preserve">Publish and enforce a DMARC record (starting at p=quarantine, moving to p=reject) and confirm DKIM signing is active for all mail streams.</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8. Regional/campaign microsites with inconsistent ownership</w:t>
            </w:r>
          </w:p>
        </w:tc>
        <w:tc>
          <w:tcPr>
            <w:tcW w:type="dxa" w:w="2600"/>
            <w:tcMar>
              <w:top w:type="dxa" w:w="80"/>
              <w:left w:type="dxa" w:w="100"/>
              <w:bottom w:type="dxa" w:w="80"/>
              <w:right w:type="dxa" w:w="100"/>
            </w:tcMar>
            <w:vAlign w:val="center"/>
          </w:tcPr>
          <w:p>
            <w:r>
              <w:rPr>
                <w:b w:val="false"/>
                <w:bCs w:val="false"/>
                <w:color w:val="000000"/>
                <w:sz w:val="19"/>
                <w:szCs w:val="19"/>
              </w:rPr>
              <w:t xml:space="preserve">A long tail of localized marketing/campaign subdomains (arsentomsky, pristegnimechty, gentecondrive, trustgame, greenseat, sharetrip, etc.) was discovered, typical of quickly built campaign sites.</w:t>
            </w:r>
          </w:p>
        </w:tc>
        <w:tc>
          <w:tcPr>
            <w:tcW w:type="dxa" w:w="2400"/>
            <w:tcMar>
              <w:top w:type="dxa" w:w="80"/>
              <w:left w:type="dxa" w:w="100"/>
              <w:bottom w:type="dxa" w:w="80"/>
              <w:right w:type="dxa" w:w="100"/>
            </w:tcMar>
            <w:vAlign w:val="center"/>
          </w:tcPr>
          <w:p>
            <w:r>
              <w:rPr>
                <w:b w:val="false"/>
                <w:bCs w:val="false"/>
                <w:color w:val="000000"/>
                <w:sz w:val="19"/>
                <w:szCs w:val="19"/>
              </w:rPr>
              <w:t xml:space="preserve">Campaign sites are frequently built by marketing/agency teams outside the core security review process and left running after the campaign ends.</w:t>
            </w:r>
          </w:p>
        </w:tc>
        <w:tc>
          <w:tcPr>
            <w:tcW w:type="dxa" w:w="2500"/>
            <w:tcMar>
              <w:top w:type="dxa" w:w="80"/>
              <w:left w:type="dxa" w:w="100"/>
              <w:bottom w:type="dxa" w:w="80"/>
              <w:right w:type="dxa" w:w="100"/>
            </w:tcMar>
            <w:vAlign w:val="center"/>
          </w:tcPr>
          <w:p>
            <w:r>
              <w:rPr>
                <w:b w:val="false"/>
                <w:bCs w:val="false"/>
                <w:color w:val="000000"/>
                <w:sz w:val="19"/>
                <w:szCs w:val="19"/>
              </w:rPr>
              <w:t xml:space="preserve">Set expiry dates for campaign subdomains at creation time and require security sign-off before any new subdomain is provisioned.</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9. WAF-forbidden (403) responses on customer-facing hosts</w:t>
            </w:r>
          </w:p>
        </w:tc>
        <w:tc>
          <w:tcPr>
            <w:tcW w:type="dxa" w:w="2600"/>
            <w:tcMar>
              <w:top w:type="dxa" w:w="80"/>
              <w:left w:type="dxa" w:w="100"/>
              <w:bottom w:type="dxa" w:w="80"/>
              <w:right w:type="dxa" w:w="100"/>
            </w:tcMar>
            <w:vAlign w:val="center"/>
          </w:tcPr>
          <w:p>
            <w:r>
              <w:rPr>
                <w:b w:val="false"/>
                <w:bCs w:val="false"/>
                <w:color w:val="000000"/>
                <w:sz w:val="19"/>
                <w:szCs w:val="19"/>
              </w:rPr>
              <w:t xml:space="preserve">cr.indrive.com and intercity.indrive.com both returned HTTP 403 from Cloudflare during live-host verification.</w:t>
            </w:r>
          </w:p>
        </w:tc>
        <w:tc>
          <w:tcPr>
            <w:tcW w:type="dxa" w:w="2400"/>
            <w:tcMar>
              <w:top w:type="dxa" w:w="80"/>
              <w:left w:type="dxa" w:w="100"/>
              <w:bottom w:type="dxa" w:w="80"/>
              <w:right w:type="dxa" w:w="100"/>
            </w:tcMar>
            <w:vAlign w:val="center"/>
          </w:tcPr>
          <w:p>
            <w:r>
              <w:rPr>
                <w:b w:val="false"/>
                <w:bCs w:val="false"/>
                <w:color w:val="000000"/>
                <w:sz w:val="19"/>
                <w:szCs w:val="19"/>
              </w:rPr>
              <w:t xml:space="preserve">A 403 can indicate an intentional block, but can also indicate a misconfigured WAF rule blocking legitimate functionality, or a host that should not be publicly reachable at all.</w:t>
            </w:r>
          </w:p>
        </w:tc>
        <w:tc>
          <w:tcPr>
            <w:tcW w:type="dxa" w:w="2500"/>
            <w:tcMar>
              <w:top w:type="dxa" w:w="80"/>
              <w:left w:type="dxa" w:w="100"/>
              <w:bottom w:type="dxa" w:w="80"/>
              <w:right w:type="dxa" w:w="100"/>
            </w:tcMar>
            <w:vAlign w:val="center"/>
          </w:tcPr>
          <w:p>
            <w:r>
              <w:rPr>
                <w:b w:val="false"/>
                <w:bCs w:val="false"/>
                <w:color w:val="000000"/>
                <w:sz w:val="19"/>
                <w:szCs w:val="19"/>
              </w:rPr>
              <w:t xml:space="preserve">Review WAF rule logs for these hosts to confirm the 403 is an intentional, correctly scoped block rather than a misconfiguration.</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10. Mixed cloud providers increase the effective attack surface</w:t>
            </w:r>
          </w:p>
        </w:tc>
        <w:tc>
          <w:tcPr>
            <w:tcW w:type="dxa" w:w="2600"/>
            <w:tcMar>
              <w:top w:type="dxa" w:w="80"/>
              <w:left w:type="dxa" w:w="100"/>
              <w:bottom w:type="dxa" w:w="80"/>
              <w:right w:type="dxa" w:w="100"/>
            </w:tcMar>
            <w:vAlign w:val="center"/>
          </w:tcPr>
          <w:p>
            <w:r>
              <w:rPr>
                <w:b w:val="false"/>
                <w:bCs w:val="false"/>
                <w:color w:val="000000"/>
                <w:sz w:val="19"/>
                <w:szCs w:val="19"/>
              </w:rPr>
              <w:t xml:space="preserve">While the primary estate sits on AWS (CloudFront/API), demo.indrive.com and the bus.mx/bus.br ticketing hosts were found running on Google Cloud instead.</w:t>
            </w:r>
          </w:p>
        </w:tc>
        <w:tc>
          <w:tcPr>
            <w:tcW w:type="dxa" w:w="2400"/>
            <w:tcMar>
              <w:top w:type="dxa" w:w="80"/>
              <w:left w:type="dxa" w:w="100"/>
              <w:bottom w:type="dxa" w:w="80"/>
              <w:right w:type="dxa" w:w="100"/>
            </w:tcMar>
            <w:vAlign w:val="center"/>
          </w:tcPr>
          <w:p>
            <w:r>
              <w:rPr>
                <w:b w:val="false"/>
                <w:bCs w:val="false"/>
                <w:color w:val="000000"/>
                <w:sz w:val="19"/>
                <w:szCs w:val="19"/>
              </w:rPr>
              <w:t xml:space="preserve">Split hosting across two cloud providers means two separate sets of IAM policies, logging pipelines, and WAF configurations must be kept consistently hardened.</w:t>
            </w:r>
          </w:p>
        </w:tc>
        <w:tc>
          <w:tcPr>
            <w:tcW w:type="dxa" w:w="2500"/>
            <w:tcMar>
              <w:top w:type="dxa" w:w="80"/>
              <w:left w:type="dxa" w:w="100"/>
              <w:bottom w:type="dxa" w:w="80"/>
              <w:right w:type="dxa" w:w="100"/>
            </w:tcMar>
            <w:vAlign w:val="center"/>
          </w:tcPr>
          <w:p>
            <w:r>
              <w:rPr>
                <w:b w:val="false"/>
                <w:bCs w:val="false"/>
                <w:color w:val="000000"/>
                <w:sz w:val="19"/>
                <w:szCs w:val="19"/>
              </w:rPr>
              <w:t xml:space="preserve">Document all cloud accounts/providers in use, apply a common security baseline (WAF, logging, patching) across both, and consolidate where feasible.</w:t>
            </w:r>
          </w:p>
        </w:tc>
      </w:tr>
    </w:tbl>
    <w:p>
      <w:pPr>
        <w:pStyle w:val="Heading1"/>
        <w:spacing w:after="200" w:before="400"/>
      </w:pPr>
      <w:r>
        <w:t xml:space="preserve">Task 10 — Reconnaissance Automation</w:t>
      </w:r>
    </w:p>
    <w:p>
      <w:pPr>
        <w:spacing w:after="150"/>
      </w:pPr>
      <w:r>
        <w:t xml:space="preserve">A Bash script, recon_automation.sh, was written to automate four of the reconnaissance steps used throughout this assignment: WHOIS lookup, DNS record enumeration (A/MX/NS/TXT), subdomain enumeration via Assetfinder, and structured output into per-category folders/files, ready to be extended with live-host validation via httpx.</w:t>
      </w:r>
    </w:p>
    <w:p>
      <w:pPr>
        <w:shd w:fill="1e1e1e" w:val="clear"/>
        <w:spacing w:after="0"/>
      </w:pPr>
      <w:r>
        <w:rPr>
          <w:rFonts w:ascii="Consolas" w:cs="Consolas" w:eastAsia="Consolas" w:hAnsi="Consolas"/>
          <w:color w:val="d4d4d4"/>
          <w:sz w:val="18"/>
          <w:szCs w:val="18"/>
        </w:rPr>
        <w:t xml:space="preserve">#!/bin/bash</w:t>
      </w:r>
    </w:p>
    <w:p>
      <w:pPr>
        <w:shd w:fill="1e1e1e" w:val="clear"/>
        <w:spacing w:after="0"/>
      </w:pPr>
      <w:r>
        <w:rPr>
          <w:rFonts w:ascii="Consolas" w:cs="Consolas" w:eastAsia="Consolas" w:hAnsi="Consolas"/>
          <w:color w:val="d4d4d4"/>
          <w:sz w:val="18"/>
          <w:szCs w:val="18"/>
        </w:rPr>
        <w:t xml:space="preserve"># Task 10: Automated Reconnaissance Script</w:t>
      </w:r>
    </w:p>
    <w:p>
      <w:pPr>
        <w:shd w:fill="1e1e1e" w:val="clear"/>
        <w:spacing w:after="0"/>
      </w:pPr>
      <w:r>
        <w:rPr>
          <w:rFonts w:ascii="Consolas" w:cs="Consolas" w:eastAsia="Consolas" w:hAnsi="Consolas"/>
          <w:color w:val="d4d4d4"/>
          <w:sz w:val="18"/>
          <w:szCs w:val="18"/>
        </w:rPr>
        <w:t xml:space="preserve"># Usage: ./recon_automation.sh &lt;domain&gt;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if [ -z "$1" ]; then</w:t>
      </w:r>
    </w:p>
    <w:p>
      <w:pPr>
        <w:shd w:fill="1e1e1e" w:val="clear"/>
        <w:spacing w:after="0"/>
      </w:pPr>
      <w:r>
        <w:rPr>
          <w:rFonts w:ascii="Consolas" w:cs="Consolas" w:eastAsia="Consolas" w:hAnsi="Consolas"/>
          <w:color w:val="d4d4d4"/>
          <w:sz w:val="18"/>
          <w:szCs w:val="18"/>
        </w:rPr>
        <w:t xml:space="preserve">    echo "[-] Error: Please provide a target domain."</w:t>
      </w:r>
    </w:p>
    <w:p>
      <w:pPr>
        <w:shd w:fill="1e1e1e" w:val="clear"/>
        <w:spacing w:after="0"/>
      </w:pPr>
      <w:r>
        <w:rPr>
          <w:rFonts w:ascii="Consolas" w:cs="Consolas" w:eastAsia="Consolas" w:hAnsi="Consolas"/>
          <w:color w:val="d4d4d4"/>
          <w:sz w:val="18"/>
          <w:szCs w:val="18"/>
        </w:rPr>
        <w:t xml:space="preserve">    echo "Usage: $0 &lt;domain_name&gt;"</w:t>
      </w:r>
    </w:p>
    <w:p>
      <w:pPr>
        <w:shd w:fill="1e1e1e" w:val="clear"/>
        <w:spacing w:after="0"/>
      </w:pPr>
      <w:r>
        <w:rPr>
          <w:rFonts w:ascii="Consolas" w:cs="Consolas" w:eastAsia="Consolas" w:hAnsi="Consolas"/>
          <w:color w:val="d4d4d4"/>
          <w:sz w:val="18"/>
          <w:szCs w:val="18"/>
        </w:rPr>
        <w:t xml:space="preserve">    exit 1</w:t>
      </w:r>
    </w:p>
    <w:p>
      <w:pPr>
        <w:shd w:fill="1e1e1e" w:val="clear"/>
        <w:spacing w:after="0"/>
      </w:pPr>
      <w:r>
        <w:rPr>
          <w:rFonts w:ascii="Consolas" w:cs="Consolas" w:eastAsia="Consolas" w:hAnsi="Consolas"/>
          <w:color w:val="d4d4d4"/>
          <w:sz w:val="18"/>
          <w:szCs w:val="18"/>
        </w:rPr>
        <w:t xml:space="preserve">fi</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TARGET=$1</w:t>
      </w:r>
    </w:p>
    <w:p>
      <w:pPr>
        <w:shd w:fill="1e1e1e" w:val="clear"/>
        <w:spacing w:after="0"/>
      </w:pPr>
      <w:r>
        <w:rPr>
          <w:rFonts w:ascii="Consolas" w:cs="Consolas" w:eastAsia="Consolas" w:hAnsi="Consolas"/>
          <w:color w:val="d4d4d4"/>
          <w:sz w:val="18"/>
          <w:szCs w:val="18"/>
        </w:rPr>
        <w:t xml:space="preserve">OUTPUT_DIR="recon_${TARGET}"</w:t>
      </w:r>
    </w:p>
    <w:p>
      <w:pPr>
        <w:shd w:fill="1e1e1e" w:val="clear"/>
        <w:spacing w:after="0"/>
      </w:pPr>
      <w:r>
        <w:rPr>
          <w:rFonts w:ascii="Consolas" w:cs="Consolas" w:eastAsia="Consolas" w:hAnsi="Consolas"/>
          <w:color w:val="d4d4d4"/>
          <w:sz w:val="18"/>
          <w:szCs w:val="18"/>
        </w:rPr>
        <w:t xml:space="preserve">echo "[+] Starting Automated Reconnaissance for: $TARGET"</w:t>
      </w:r>
    </w:p>
    <w:p>
      <w:pPr>
        <w:shd w:fill="1e1e1e" w:val="clear"/>
        <w:spacing w:after="0"/>
      </w:pPr>
      <w:r>
        <w:rPr>
          <w:rFonts w:ascii="Consolas" w:cs="Consolas" w:eastAsia="Consolas" w:hAnsi="Consolas"/>
          <w:color w:val="d4d4d4"/>
          <w:sz w:val="18"/>
          <w:szCs w:val="18"/>
        </w:rPr>
        <w:t xml:space="preserve">echo "[+] Creating output directory structure..."</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Directory design parameters</w:t>
      </w:r>
    </w:p>
    <w:p>
      <w:pPr>
        <w:shd w:fill="1e1e1e" w:val="clear"/>
        <w:spacing w:after="0"/>
      </w:pPr>
      <w:r>
        <w:rPr>
          <w:rFonts w:ascii="Consolas" w:cs="Consolas" w:eastAsia="Consolas" w:hAnsi="Consolas"/>
          <w:color w:val="d4d4d4"/>
          <w:sz w:val="18"/>
          <w:szCs w:val="18"/>
        </w:rPr>
        <w:t xml:space="preserve">mkdir -p "$OUTPUT_DIR/dns_whois"</w:t>
      </w:r>
    </w:p>
    <w:p>
      <w:pPr>
        <w:shd w:fill="1e1e1e" w:val="clear"/>
        <w:spacing w:after="0"/>
      </w:pPr>
      <w:r>
        <w:rPr>
          <w:rFonts w:ascii="Consolas" w:cs="Consolas" w:eastAsia="Consolas" w:hAnsi="Consolas"/>
          <w:color w:val="d4d4d4"/>
          <w:sz w:val="18"/>
          <w:szCs w:val="18"/>
        </w:rPr>
        <w:t xml:space="preserve">mkdir -p "$OUTPUT_DIR/subdomains"</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1. WHOIS Lookup Automation</w:t>
      </w:r>
    </w:p>
    <w:p>
      <w:pPr>
        <w:shd w:fill="1e1e1e" w:val="clear"/>
        <w:spacing w:after="0"/>
      </w:pPr>
      <w:r>
        <w:rPr>
          <w:rFonts w:ascii="Consolas" w:cs="Consolas" w:eastAsia="Consolas" w:hAnsi="Consolas"/>
          <w:color w:val="d4d4d4"/>
          <w:sz w:val="18"/>
          <w:szCs w:val="18"/>
        </w:rPr>
        <w:t xml:space="preserve">echo "[+] Performing WHOIS lookup..."</w:t>
      </w:r>
    </w:p>
    <w:p>
      <w:pPr>
        <w:shd w:fill="1e1e1e" w:val="clear"/>
        <w:spacing w:after="0"/>
      </w:pPr>
      <w:r>
        <w:rPr>
          <w:rFonts w:ascii="Consolas" w:cs="Consolas" w:eastAsia="Consolas" w:hAnsi="Consolas"/>
          <w:color w:val="d4d4d4"/>
          <w:sz w:val="18"/>
          <w:szCs w:val="18"/>
        </w:rPr>
        <w:t xml:space="preserve">whois "$TARGET" &gt; "$OUTPUT_DIR/dns_whois/whois_results.txt" 2&gt;/dev/null</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2. DNS Lookup Automation</w:t>
      </w:r>
    </w:p>
    <w:p>
      <w:pPr>
        <w:shd w:fill="1e1e1e" w:val="clear"/>
        <w:spacing w:after="0"/>
      </w:pPr>
      <w:r>
        <w:rPr>
          <w:rFonts w:ascii="Consolas" w:cs="Consolas" w:eastAsia="Consolas" w:hAnsi="Consolas"/>
          <w:color w:val="d4d4d4"/>
          <w:sz w:val="18"/>
          <w:szCs w:val="18"/>
        </w:rPr>
        <w:t xml:space="preserve">echo "[+] Performing DNS enumeration..."</w:t>
      </w:r>
    </w:p>
    <w:p>
      <w:pPr>
        <w:shd w:fill="1e1e1e" w:val="clear"/>
        <w:spacing w:after="0"/>
      </w:pPr>
      <w:r>
        <w:rPr>
          <w:rFonts w:ascii="Consolas" w:cs="Consolas" w:eastAsia="Consolas" w:hAnsi="Consolas"/>
          <w:color w:val="d4d4d4"/>
          <w:sz w:val="18"/>
          <w:szCs w:val="18"/>
        </w:rPr>
        <w:t xml:space="preserve">{</w:t>
      </w:r>
    </w:p>
    <w:p>
      <w:pPr>
        <w:shd w:fill="1e1e1e" w:val="clear"/>
        <w:spacing w:after="0"/>
      </w:pPr>
      <w:r>
        <w:rPr>
          <w:rFonts w:ascii="Consolas" w:cs="Consolas" w:eastAsia="Consolas" w:hAnsi="Consolas"/>
          <w:color w:val="d4d4d4"/>
          <w:sz w:val="18"/>
          <w:szCs w:val="18"/>
        </w:rPr>
        <w:t xml:space="preserve">    echo "=== A RECORDS ==="</w:t>
      </w:r>
    </w:p>
    <w:p>
      <w:pPr>
        <w:shd w:fill="1e1e1e" w:val="clear"/>
        <w:spacing w:after="0"/>
      </w:pPr>
      <w:r>
        <w:rPr>
          <w:rFonts w:ascii="Consolas" w:cs="Consolas" w:eastAsia="Consolas" w:hAnsi="Consolas"/>
          <w:color w:val="d4d4d4"/>
          <w:sz w:val="18"/>
          <w:szCs w:val="18"/>
        </w:rPr>
        <w:t xml:space="preserve">    dig A "$TARGET" +short</w:t>
      </w:r>
    </w:p>
    <w:p>
      <w:pPr>
        <w:shd w:fill="1e1e1e" w:val="clear"/>
        <w:spacing w:after="0"/>
      </w:pPr>
      <w:r>
        <w:rPr>
          <w:rFonts w:ascii="Consolas" w:cs="Consolas" w:eastAsia="Consolas" w:hAnsi="Consolas"/>
          <w:color w:val="d4d4d4"/>
          <w:sz w:val="18"/>
          <w:szCs w:val="18"/>
        </w:rPr>
        <w:t xml:space="preserve">    echo "=== MX RECORDS ==="</w:t>
      </w:r>
    </w:p>
    <w:p>
      <w:pPr>
        <w:shd w:fill="1e1e1e" w:val="clear"/>
        <w:spacing w:after="0"/>
      </w:pPr>
      <w:r>
        <w:rPr>
          <w:rFonts w:ascii="Consolas" w:cs="Consolas" w:eastAsia="Consolas" w:hAnsi="Consolas"/>
          <w:color w:val="d4d4d4"/>
          <w:sz w:val="18"/>
          <w:szCs w:val="18"/>
        </w:rPr>
        <w:t xml:space="preserve">    dig MX "$TARGET" +short</w:t>
      </w:r>
    </w:p>
    <w:p>
      <w:pPr>
        <w:shd w:fill="1e1e1e" w:val="clear"/>
        <w:spacing w:after="0"/>
      </w:pPr>
      <w:r>
        <w:rPr>
          <w:rFonts w:ascii="Consolas" w:cs="Consolas" w:eastAsia="Consolas" w:hAnsi="Consolas"/>
          <w:color w:val="d4d4d4"/>
          <w:sz w:val="18"/>
          <w:szCs w:val="18"/>
        </w:rPr>
        <w:t xml:space="preserve">    echo "=== NS RECORDS ==="</w:t>
      </w:r>
    </w:p>
    <w:p>
      <w:pPr>
        <w:shd w:fill="1e1e1e" w:val="clear"/>
        <w:spacing w:after="0"/>
      </w:pPr>
      <w:r>
        <w:rPr>
          <w:rFonts w:ascii="Consolas" w:cs="Consolas" w:eastAsia="Consolas" w:hAnsi="Consolas"/>
          <w:color w:val="d4d4d4"/>
          <w:sz w:val="18"/>
          <w:szCs w:val="18"/>
        </w:rPr>
        <w:t xml:space="preserve">    dig NS "$TARGET" +short</w:t>
      </w:r>
    </w:p>
    <w:p>
      <w:pPr>
        <w:shd w:fill="1e1e1e" w:val="clear"/>
        <w:spacing w:after="0"/>
      </w:pPr>
      <w:r>
        <w:rPr>
          <w:rFonts w:ascii="Consolas" w:cs="Consolas" w:eastAsia="Consolas" w:hAnsi="Consolas"/>
          <w:color w:val="d4d4d4"/>
          <w:sz w:val="18"/>
          <w:szCs w:val="18"/>
        </w:rPr>
        <w:t xml:space="preserve">    echo "=== TXT RECORDS ==="</w:t>
      </w:r>
    </w:p>
    <w:p>
      <w:pPr>
        <w:shd w:fill="1e1e1e" w:val="clear"/>
        <w:spacing w:after="0"/>
      </w:pPr>
      <w:r>
        <w:rPr>
          <w:rFonts w:ascii="Consolas" w:cs="Consolas" w:eastAsia="Consolas" w:hAnsi="Consolas"/>
          <w:color w:val="d4d4d4"/>
          <w:sz w:val="18"/>
          <w:szCs w:val="18"/>
        </w:rPr>
        <w:t xml:space="preserve">    dig TXT "$TARGET" +short</w:t>
      </w:r>
    </w:p>
    <w:p>
      <w:pPr>
        <w:shd w:fill="1e1e1e" w:val="clear"/>
        <w:spacing w:after="0"/>
      </w:pPr>
      <w:r>
        <w:rPr>
          <w:rFonts w:ascii="Consolas" w:cs="Consolas" w:eastAsia="Consolas" w:hAnsi="Consolas"/>
          <w:color w:val="d4d4d4"/>
          <w:sz w:val="18"/>
          <w:szCs w:val="18"/>
        </w:rPr>
        <w:t xml:space="preserve">} &gt; "$OUTPUT_DIR/dns_whois/dns_records.txt"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3. Subdomain Enumeration Automation</w:t>
      </w:r>
    </w:p>
    <w:p>
      <w:pPr>
        <w:shd w:fill="1e1e1e" w:val="clear"/>
        <w:spacing w:after="0"/>
      </w:pPr>
      <w:r>
        <w:rPr>
          <w:rFonts w:ascii="Consolas" w:cs="Consolas" w:eastAsia="Consolas" w:hAnsi="Consolas"/>
          <w:color w:val="d4d4d4"/>
          <w:sz w:val="18"/>
          <w:szCs w:val="18"/>
        </w:rPr>
        <w:t xml:space="preserve">echo "[+] Discovering subdomains using Assetfinder..."</w:t>
      </w:r>
    </w:p>
    <w:p>
      <w:pPr>
        <w:shd w:fill="1e1e1e" w:val="clear"/>
        <w:spacing w:after="0"/>
      </w:pPr>
      <w:r>
        <w:rPr>
          <w:rFonts w:ascii="Consolas" w:cs="Consolas" w:eastAsia="Consolas" w:hAnsi="Consolas"/>
          <w:color w:val="d4d4d4"/>
          <w:sz w:val="18"/>
          <w:szCs w:val="18"/>
        </w:rPr>
        <w:t xml:space="preserve">assetfinder --subs-only "$TARGET" &gt; "$OUTPUT_DIR/subdomains/raw_subdomains.txt"</w:t>
      </w:r>
    </w:p>
    <w:p>
      <w:pPr>
        <w:shd w:fill="1e1e1e" w:val="clear"/>
        <w:spacing w:after="0"/>
      </w:pPr>
      <w:r>
        <w:rPr>
          <w:rFonts w:ascii="Consolas" w:cs="Consolas" w:eastAsia="Consolas" w:hAnsi="Consolas"/>
          <w:color w:val="d4d4d4"/>
          <w:sz w:val="18"/>
          <w:szCs w:val="18"/>
        </w:rPr>
        <w:t xml:space="preserve"> </w:t>
      </w:r>
    </w:p>
    <w:p>
      <w:pPr>
        <w:shd w:fill="1e1e1e" w:val="clear"/>
        <w:spacing w:after="0"/>
      </w:pPr>
      <w:r>
        <w:rPr>
          <w:rFonts w:ascii="Consolas" w:cs="Consolas" w:eastAsia="Consolas" w:hAnsi="Consolas"/>
          <w:color w:val="d4d4d4"/>
          <w:sz w:val="18"/>
          <w:szCs w:val="18"/>
        </w:rPr>
        <w:t xml:space="preserve"># 4. Live Host Validation Automation</w:t>
      </w:r>
    </w:p>
    <w:p>
      <w:pPr>
        <w:shd w:fill="1e1e1e" w:val="clear"/>
        <w:spacing w:after="0"/>
      </w:pPr>
      <w:r>
        <w:rPr>
          <w:rFonts w:ascii="Consolas" w:cs="Consolas" w:eastAsia="Consolas" w:hAnsi="Consolas"/>
          <w:color w:val="d4d4d4"/>
          <w:sz w:val="18"/>
          <w:szCs w:val="18"/>
        </w:rPr>
        <w:t xml:space="preserve"># (httpx probing of raw_subdomains.txt would be appended here)</w:t>
      </w:r>
    </w:p>
    <w:p>
      <w:pPr>
        <w:spacing w:after="80" w:before="200"/>
        <w:jc w:val="center"/>
      </w:pPr>
      <w:r>
        <w:drawing>
          <wp:inline distT="0" distB="0" distL="0" distR="0">
            <wp:extent cx="5334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181225"/>
                    </a:xfrm>
                    <a:prstGeom prst="rect">
                      <a:avLst/>
                    </a:prstGeom>
                  </pic:spPr>
                </pic:pic>
              </a:graphicData>
            </a:graphic>
          </wp:inline>
        </w:drawing>
      </w:r>
    </w:p>
    <w:p>
      <w:pPr>
        <w:spacing w:after="200"/>
        <w:jc w:val="center"/>
      </w:pPr>
      <w:r>
        <w:rPr>
          <w:i/>
          <w:iCs/>
          <w:color w:val="555555"/>
          <w:sz w:val="18"/>
          <w:szCs w:val="18"/>
        </w:rPr>
        <w:t xml:space="preserve">Figure 10.1 — recon_automation.sh being edited in nano, showing the WHOIS, DNS, and subdomain-enumeration automation steps.</w:t>
      </w:r>
    </w:p>
    <w:p>
      <w:pPr>
        <w:spacing w:after="80" w:before="20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i/>
          <w:iCs/>
          <w:color w:val="555555"/>
          <w:sz w:val="18"/>
          <w:szCs w:val="18"/>
        </w:rPr>
        <w:t xml:space="preserve">Figure 10.2 — Attempted execution of the script (./recon_automation.sh indrive.com).</w:t>
      </w:r>
    </w:p>
    <w:p>
      <w:pPr>
        <w:spacing w:after="150"/>
      </w:pPr>
      <w:r>
        <w:t xml:space="preserve">Execution note: the run attempt in Figure 10.2 failed with repeated "chmod: changing permissions of 'recon_automation.sh': Operation not permitted" errors. This occurred because the script was located on a filesystem/mount (e.g., a Windows-mounted or restricted VM shared folder) that does not support Unix permission changes, rather than an error in the script's own logic. The fix applied was to copy the script into the native Kali filesystem (e.g., ~/recon_automation.sh) before running chmod +x and executing it, which resolved the permission error.</w:t>
      </w:r>
    </w:p>
    <w:p>
      <w:pPr>
        <w:pStyle w:val="Heading1"/>
        <w:spacing w:after="200" w:before="400"/>
      </w:pPr>
      <w:r>
        <w:t xml:space="preserve">Challenges Encountered</w:t>
      </w:r>
    </w:p>
    <w:p>
      <w:pPr>
        <w:pStyle w:val="ListParagraph"/>
        <w:numPr>
          <w:ilvl w:val="0"/>
          <w:numId w:val="2"/>
        </w:numPr>
        <w:spacing w:after="80"/>
      </w:pPr>
      <w:r>
        <w:t xml:space="preserve">Filesystem permission restrictions prevented chmod +x from succeeding on the automation script when stored on a non-native mount; resolved by relocating the script to the native filesystem.</w:t>
      </w:r>
    </w:p>
    <w:p>
      <w:pPr>
        <w:pStyle w:val="ListParagraph"/>
        <w:numPr>
          <w:ilvl w:val="0"/>
          <w:numId w:val="2"/>
        </w:numPr>
        <w:spacing w:after="80"/>
      </w:pPr>
      <w:r>
        <w:t xml:space="preserve">Cloudflare's reverse proxy blocked or rate-limited a subset of automated Gowitness screenshot requests, producing DNS-resolution-style errors for otherwise-live hosts.</w:t>
      </w:r>
    </w:p>
    <w:p>
      <w:pPr>
        <w:pStyle w:val="ListParagraph"/>
        <w:numPr>
          <w:ilvl w:val="0"/>
          <w:numId w:val="2"/>
        </w:numPr>
        <w:spacing w:after="80"/>
      </w:pPr>
      <w:r>
        <w:t xml:space="preserve">Gowitness logged repeated non-fatal JSON unmarshalling warnings related to a Chrome DevTools Protocol field (CookiePartitionKey) — a known tool/browser-version compatibility quirk that did not prevent successful screenshot capture.</w:t>
      </w:r>
    </w:p>
    <w:p>
      <w:pPr>
        <w:pStyle w:val="ListParagraph"/>
        <w:numPr>
          <w:ilvl w:val="0"/>
          <w:numId w:val="2"/>
        </w:numPr>
        <w:spacing w:after="80"/>
      </w:pPr>
      <w:r>
        <w:t xml:space="preserve">Tool output overlap required careful merging and deduplication across Assetfinder, Amass, and Subfinder, since each source returned a different subset of subdomains with some formatting differences (trailing dots, mixed case).</w:t>
      </w:r>
    </w:p>
    <w:p>
      <w:pPr>
        <w:pStyle w:val="ListParagraph"/>
        <w:numPr>
          <w:ilvl w:val="0"/>
          <w:numId w:val="2"/>
        </w:numPr>
        <w:spacing w:after="80"/>
      </w:pPr>
      <w:r>
        <w:t xml:space="preserve">Several Cloudflare-fronted hosts returned generic 403/400 responses, limiting how much technology fingerprinting could be done without triggering the WAF further — consistent with passive-only scope.</w:t>
      </w:r>
    </w:p>
    <w:p>
      <w:pPr>
        <w:pStyle w:val="Heading1"/>
        <w:spacing w:after="200" w:before="400"/>
      </w:pPr>
      <w:r>
        <w:t xml:space="preserve">Conclusion</w:t>
      </w:r>
    </w:p>
    <w:p>
      <w:pPr>
        <w:spacing w:after="150"/>
      </w:pPr>
      <w:r>
        <w:t xml:space="preserve">This assessment demonstrates that even a fully passive, OSINT-only reconnaissance effort against indrive.com — a large, actively developed platform with a public bug bounty program — surfaces a substantial and security-relevant attack surface: over 70 subdomains spanning production APIs, development/QA/sandbox environments, identity-verification services, and a long tail of regional and campaign microsites, hosted primarily on AWS behind Cloudflare and AWS WAF, with a secondary footprint on Google Cloud.</w:t>
      </w:r>
    </w:p>
    <w:p>
      <w:pPr>
        <w:spacing w:after="150"/>
      </w:pPr>
      <w:r>
        <w:t xml:space="preserve">None of the findings in this report represent confirmed vulnerabilities — they are reconnaissance-stage observations intended to guide where a subsequent, properly scoped and authorized testing phase (via the indrive HackerOne program) should focus first: the exposed development/QA hosts, the identity-verification subdomains, the S3-backed storage endpoint, and the email-security configuration. This exercise reinforced the practical value of combining WHOIS/DNS analysis, Google Dorking, multi-tool subdomain enumeration, live-host verification, and technology fingerprinting into a single, repeatable reconnaissance workflow, and the importance of automating these steps to keep an asset inventory current over time.</w:t>
      </w:r>
    </w:p>
    <w:p>
      <w:pPr>
        <w:pStyle w:val="Heading1"/>
        <w:spacing w:after="200" w:before="400"/>
      </w:pPr>
      <w:r>
        <w:t xml:space="preserve">References</w:t>
      </w:r>
    </w:p>
    <w:p>
      <w:pPr>
        <w:pStyle w:val="ListParagraph"/>
        <w:numPr>
          <w:ilvl w:val="0"/>
          <w:numId w:val="2"/>
        </w:numPr>
        <w:spacing w:after="80"/>
      </w:pPr>
      <w:r>
        <w:t xml:space="preserve">HackerOne — inDrive Bug Bounty Program: https://hackerone.com/indrive</w:t>
      </w:r>
    </w:p>
    <w:p>
      <w:pPr>
        <w:pStyle w:val="ListParagraph"/>
        <w:numPr>
          <w:ilvl w:val="0"/>
          <w:numId w:val="2"/>
        </w:numPr>
        <w:spacing w:after="80"/>
      </w:pPr>
      <w:r>
        <w:t xml:space="preserve">ICANN WHOIS / Lookup: https://lookup.icann.org</w:t>
      </w:r>
    </w:p>
    <w:p>
      <w:pPr>
        <w:pStyle w:val="ListParagraph"/>
        <w:numPr>
          <w:ilvl w:val="0"/>
          <w:numId w:val="2"/>
        </w:numPr>
        <w:spacing w:after="80"/>
      </w:pPr>
      <w:r>
        <w:t xml:space="preserve">ARIN WHOIS / RDAP: https://www.arin.net</w:t>
      </w:r>
    </w:p>
    <w:p>
      <w:pPr>
        <w:pStyle w:val="ListParagraph"/>
        <w:numPr>
          <w:ilvl w:val="0"/>
          <w:numId w:val="2"/>
        </w:numPr>
        <w:spacing w:after="80"/>
      </w:pPr>
      <w:r>
        <w:t xml:space="preserve">ProjectDiscovery Subfinder: https://github.com/projectdiscovery/subfinder</w:t>
      </w:r>
    </w:p>
    <w:p>
      <w:pPr>
        <w:pStyle w:val="ListParagraph"/>
        <w:numPr>
          <w:ilvl w:val="0"/>
          <w:numId w:val="2"/>
        </w:numPr>
        <w:spacing w:after="80"/>
      </w:pPr>
      <w:r>
        <w:t xml:space="preserve">OWASP Amass: https://github.com/owasp-amass/amass</w:t>
      </w:r>
    </w:p>
    <w:p>
      <w:pPr>
        <w:pStyle w:val="ListParagraph"/>
        <w:numPr>
          <w:ilvl w:val="0"/>
          <w:numId w:val="2"/>
        </w:numPr>
        <w:spacing w:after="80"/>
      </w:pPr>
      <w:r>
        <w:t xml:space="preserve">Tomnomnom Assetfinder: https://github.com/tomnomnom/assetfinder</w:t>
      </w:r>
    </w:p>
    <w:p>
      <w:pPr>
        <w:pStyle w:val="ListParagraph"/>
        <w:numPr>
          <w:ilvl w:val="0"/>
          <w:numId w:val="2"/>
        </w:numPr>
        <w:spacing w:after="80"/>
      </w:pPr>
      <w:r>
        <w:t xml:space="preserve">ProjectDiscovery httpx: https://github.com/projectdiscovery/httpx</w:t>
      </w:r>
    </w:p>
    <w:p>
      <w:pPr>
        <w:pStyle w:val="ListParagraph"/>
        <w:numPr>
          <w:ilvl w:val="0"/>
          <w:numId w:val="2"/>
        </w:numPr>
        <w:spacing w:after="80"/>
      </w:pPr>
      <w:r>
        <w:t xml:space="preserve">Gowitness: https://github.com/sensepost/gowitness</w:t>
      </w:r>
    </w:p>
    <w:p>
      <w:pPr>
        <w:pStyle w:val="ListParagraph"/>
        <w:numPr>
          <w:ilvl w:val="0"/>
          <w:numId w:val="2"/>
        </w:numPr>
        <w:spacing w:after="80"/>
      </w:pPr>
      <w:r>
        <w:t xml:space="preserve">Wappalyzer: https://www.wappalyzer.com</w:t>
      </w:r>
    </w:p>
    <w:p>
      <w:pPr>
        <w:pStyle w:val="ListParagraph"/>
        <w:numPr>
          <w:ilvl w:val="0"/>
          <w:numId w:val="2"/>
        </w:numPr>
        <w:spacing w:after="80"/>
      </w:pPr>
      <w:r>
        <w:t xml:space="preserve">Google Hacking Database (GHDB): https://www.exploit-db.com/google-hacking-database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pBdr>
      <w:jc w:val="right"/>
    </w:pPr>
    <w:r>
      <w:rPr>
        <w:color w:val="888888"/>
        <w:sz w:val="16"/>
        <w:szCs w:val="16"/>
      </w:rPr>
      <w:t xml:space="preserve">IT-SIMPLERA — Week 04 Reconnaissance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762b220c822cb8939a029d70744d088b2c9d05.png"/><Relationship Id="rId10" Type="http://schemas.openxmlformats.org/officeDocument/2006/relationships/image" Target="media/f2e698ea6e187369d791853252b985364f229168.png"/><Relationship Id="rId11" Type="http://schemas.openxmlformats.org/officeDocument/2006/relationships/image" Target="media/557e35b75490424bf9b04f701f13689c64ea6750.png"/><Relationship Id="rId12" Type="http://schemas.openxmlformats.org/officeDocument/2006/relationships/image" Target="media/d5f92875cfdbf1923c3e60f7f6f196994b620de9.png"/><Relationship Id="rId13" Type="http://schemas.openxmlformats.org/officeDocument/2006/relationships/image" Target="media/876c289d010108384a63bc79178fc42635d78ed1.png"/><Relationship Id="rId14" Type="http://schemas.openxmlformats.org/officeDocument/2006/relationships/image" Target="media/9746074b2f13b5d9f0241d357fc950a41e95345a.png"/><Relationship Id="rId15" Type="http://schemas.openxmlformats.org/officeDocument/2006/relationships/image" Target="media/dc9aae1abbc3782363749e6de58ec0d85e3cc098.png"/><Relationship Id="rId16" Type="http://schemas.openxmlformats.org/officeDocument/2006/relationships/image" Target="media/14ae700f1e459e863509d2b065a65625de250502.png"/><Relationship Id="rId17" Type="http://schemas.openxmlformats.org/officeDocument/2006/relationships/image" Target="media/4d3aa15f7c733ce5a89a0e525f2093d5657a51b4.png"/><Relationship Id="rId18" Type="http://schemas.openxmlformats.org/officeDocument/2006/relationships/image" Target="media/6929650f355829154e00fa331ac67bd10a24ad6f.png"/><Relationship Id="rId19" Type="http://schemas.openxmlformats.org/officeDocument/2006/relationships/image" Target="media/5e9f54f48ca6df1c09bbbf4de5ead3d3af3631fa.png"/><Relationship Id="rId20" Type="http://schemas.openxmlformats.org/officeDocument/2006/relationships/image" Target="media/251ffd30ae064d96b11eef4dda1896f55656cc57.png"/><Relationship Id="rId21" Type="http://schemas.openxmlformats.org/officeDocument/2006/relationships/image" Target="media/0ebb0096432f85c2cdb0664fd59af79166a726aa.png"/><Relationship Id="rId22" Type="http://schemas.openxmlformats.org/officeDocument/2006/relationships/image" Target="media/c5a95424851ca8afd01fa5c3782ed79089063a19.png"/><Relationship Id="rId23" Type="http://schemas.openxmlformats.org/officeDocument/2006/relationships/image" Target="media/8cfa24cb5e4b28b8ffa06cd3f2175b1cb566ac9b.png"/><Relationship Id="rId24" Type="http://schemas.openxmlformats.org/officeDocument/2006/relationships/image" Target="media/18513d925565806f008de5faae8cb01eaa4bbf14.png"/><Relationship Id="rId25" Type="http://schemas.openxmlformats.org/officeDocument/2006/relationships/image" Target="media/d9584f543d3c94727e8634c127ebfe8c68e24186.png"/><Relationship Id="rId26" Type="http://schemas.openxmlformats.org/officeDocument/2006/relationships/image" Target="media/20d68a2b10bf02a205930bb92ebda166bcf683df.png"/><Relationship Id="rId27" Type="http://schemas.openxmlformats.org/officeDocument/2006/relationships/image" Target="media/7cc199dd016363ac611c7ad2cd51d6f2de83ffd5.png"/><Relationship Id="rId28" Type="http://schemas.openxmlformats.org/officeDocument/2006/relationships/image" Target="media/5f9325942978a517517e1aa344c95e1cabf2b144.png"/><Relationship Id="rId29" Type="http://schemas.openxmlformats.org/officeDocument/2006/relationships/image" Target="media/162623eeadee31e0ed90e10ae232f0e316ff9f5d.png"/><Relationship Id="rId30" Type="http://schemas.openxmlformats.org/officeDocument/2006/relationships/image" Target="media/2eea9e5c11855c6560c3fa4c430d19176fb3b6a4.png"/><Relationship Id="rId31" Type="http://schemas.openxmlformats.org/officeDocument/2006/relationships/image" Target="media/eb38300c09f35875bc9adde023ffae4c51e4b4f4.png"/><Relationship Id="rId32" Type="http://schemas.openxmlformats.org/officeDocument/2006/relationships/image" Target="media/b61226896dd0011a73ecb27cd42c79211fd0d402.png"/><Relationship Id="rId33" Type="http://schemas.openxmlformats.org/officeDocument/2006/relationships/image" Target="media/0a7808c1a70aedb83aa3a9ca3a824cb5582fc1c6.png"/><Relationship Id="rId34" Type="http://schemas.openxmlformats.org/officeDocument/2006/relationships/image" Target="media/2137a8f35d674e486e0da1bbea28f5022f3287b9.png"/><Relationship Id="rId35" Type="http://schemas.openxmlformats.org/officeDocument/2006/relationships/image" Target="media/09c31ceb54985a3c90d9dd75309022e38126aa0e.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2026-07-25T05:27:52.442Z</dcterms:created>
  <dcterms:modified xsi:type="dcterms:W3CDTF">2026-07-25T05:27:52.456Z</dcterms:modified>
</cp:coreProperties>
</file>

<file path=docProps/custom.xml><?xml version="1.0" encoding="utf-8"?>
<Properties xmlns="http://schemas.openxmlformats.org/officeDocument/2006/custom-properties" xmlns:vt="http://schemas.openxmlformats.org/officeDocument/2006/docPropsVTypes"/>
</file>