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63D" w:rsidRPr="006B263D" w:rsidRDefault="006B263D" w:rsidP="006B263D">
      <w:pPr>
        <w:jc w:val="center"/>
        <w:rPr>
          <w:sz w:val="34"/>
          <w:szCs w:val="34"/>
        </w:rPr>
      </w:pPr>
      <w:r w:rsidRPr="006B263D">
        <w:rPr>
          <w:sz w:val="34"/>
          <w:szCs w:val="34"/>
        </w:rPr>
        <w:t>S&amp;P500 Case Study</w:t>
      </w:r>
    </w:p>
    <w:p w:rsidR="00305815" w:rsidRDefault="00305815">
      <w:pPr>
        <w:rPr>
          <w:noProof/>
        </w:rPr>
      </w:pPr>
      <w:r>
        <w:t xml:space="preserve">In this case study, we construct the efficient frontier of the top 40 stocks by weight in the S&amp;P500 </w:t>
      </w:r>
      <w:r w:rsidR="006B263D">
        <w:t>index and compared its efficient market return to the S&amp;P500 index.</w:t>
      </w:r>
      <w:r w:rsidR="00615261" w:rsidRPr="00615261">
        <w:rPr>
          <w:noProof/>
        </w:rPr>
        <w:t xml:space="preserve"> </w:t>
      </w:r>
    </w:p>
    <w:p w:rsidR="00305815" w:rsidRPr="000D6709" w:rsidRDefault="00305815">
      <w:pPr>
        <w:rPr>
          <w:sz w:val="34"/>
          <w:szCs w:val="34"/>
        </w:rPr>
      </w:pPr>
      <w:r w:rsidRPr="000D6709">
        <w:rPr>
          <w:sz w:val="34"/>
          <w:szCs w:val="34"/>
        </w:rPr>
        <w:t>Introduction</w:t>
      </w:r>
    </w:p>
    <w:p w:rsidR="00305815" w:rsidRDefault="006B263D">
      <w:r>
        <w:t>The S&amp;P500 Index</w:t>
      </w:r>
      <w:r w:rsidR="000D6709">
        <w:t xml:space="preserve"> is one of the mostly commonly quoted indices along with Dow Jones Industrial Average and Dow 30. Not only is the index an indicator of the economy, but it is also </w:t>
      </w:r>
      <w:r w:rsidR="00BA2E8C">
        <w:t xml:space="preserve">commonly </w:t>
      </w:r>
      <w:r w:rsidR="000D6709">
        <w:t>used as benchmarks for investment strategies.</w:t>
      </w:r>
    </w:p>
    <w:p w:rsidR="00BA2E8C" w:rsidRDefault="00BA2E8C">
      <w:r>
        <w:t>The general rule of diversification in investing says an investor should trade in stocks of many companies to minimize risk inherent to a single company and reap return from the general market</w:t>
      </w:r>
      <w:r w:rsidR="00371246">
        <w:t xml:space="preserve"> growth</w:t>
      </w:r>
      <w:r>
        <w:t xml:space="preserve">. The question naturally arises as to which stocks an investor should choose and how much of each stock should an investor invest out of the hundreds of publicly traded stocks. This is the classical problem of portfolio optimization and has been </w:t>
      </w:r>
      <w:r w:rsidR="006A6FB3">
        <w:t>studied as early as the 1940s.</w:t>
      </w:r>
    </w:p>
    <w:p w:rsidR="00371246" w:rsidRDefault="00371246">
      <w:r>
        <w:t>While the problem has a closed analytical solution, the assumptions required for the solution often meant a difficult execution. In real world, constraints such as no short-selling or limited leverage makes adaptation of the analytical solution difficult. Hence, we will use numerical optimization techniques.</w:t>
      </w:r>
    </w:p>
    <w:p w:rsidR="000D6709" w:rsidRDefault="00F0604D" w:rsidP="00F0604D">
      <w:pPr>
        <w:jc w:val="center"/>
      </w:pPr>
      <w:r w:rsidRPr="006B263D">
        <w:rPr>
          <w:noProof/>
        </w:rPr>
        <w:drawing>
          <wp:inline distT="0" distB="0" distL="0" distR="0" wp14:anchorId="5DDBBAA0" wp14:editId="51937C71">
            <wp:extent cx="5327650" cy="3991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rsidR="00273060" w:rsidRDefault="00273060">
      <w:r>
        <w:br w:type="page"/>
      </w:r>
    </w:p>
    <w:p w:rsidR="00305815" w:rsidRPr="000D6709" w:rsidRDefault="00305815">
      <w:pPr>
        <w:rPr>
          <w:sz w:val="34"/>
          <w:szCs w:val="34"/>
        </w:rPr>
      </w:pPr>
      <w:r w:rsidRPr="000D6709">
        <w:rPr>
          <w:sz w:val="34"/>
          <w:szCs w:val="34"/>
        </w:rPr>
        <w:lastRenderedPageBreak/>
        <w:t>Method</w:t>
      </w:r>
    </w:p>
    <w:p w:rsidR="00615261" w:rsidRDefault="00305815">
      <w:r>
        <w:t xml:space="preserve">Historical stock data is taken for the top 40 stocks by weight in the S&amp;P500 index over a 10 year period from 05/01/2009 to 05/01/2019. End of Month closing prices are obtained from Yahoo Finance as CSV files and imported into MATLAB. </w:t>
      </w:r>
      <w:r w:rsidR="00615261">
        <w:t>It is noted that out of the 40 stocks, Facebook (FB), Berkshire Hathaway (BRKB) and PayPal (PYPL) have insufficient data either due to an intermittent IPO or corrupted data</w:t>
      </w:r>
      <w:r w:rsidR="00A11CD9">
        <w:t xml:space="preserve"> in the selected time horizon</w:t>
      </w:r>
      <w:r w:rsidR="00615261">
        <w:t>. The updated list is now 37 stocks. Also note that dividends, commission fees are not included in this analysis.</w:t>
      </w:r>
    </w:p>
    <w:p w:rsidR="00305815" w:rsidRDefault="005308CD">
      <w:r w:rsidRPr="00863F14">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662940</wp:posOffset>
            </wp:positionV>
            <wp:extent cx="3188335" cy="2388870"/>
            <wp:effectExtent l="0" t="0" r="0" b="0"/>
            <wp:wrapTight wrapText="bothSides">
              <wp:wrapPolygon edited="0">
                <wp:start x="1678" y="517"/>
                <wp:lineTo x="1807" y="8268"/>
                <wp:lineTo x="2323" y="9129"/>
                <wp:lineTo x="3485" y="9129"/>
                <wp:lineTo x="1807" y="11024"/>
                <wp:lineTo x="1807" y="14297"/>
                <wp:lineTo x="2452" y="14641"/>
                <wp:lineTo x="1936" y="15502"/>
                <wp:lineTo x="1807" y="18603"/>
                <wp:lineTo x="2839" y="19636"/>
                <wp:lineTo x="4001" y="19981"/>
                <wp:lineTo x="19359" y="19981"/>
                <wp:lineTo x="19488" y="19636"/>
                <wp:lineTo x="19746" y="17397"/>
                <wp:lineTo x="19746" y="517"/>
                <wp:lineTo x="1678" y="51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8335" cy="238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3F14">
        <w:rPr>
          <w:noProof/>
        </w:rPr>
        <w:drawing>
          <wp:anchor distT="0" distB="0" distL="114300" distR="114300" simplePos="0" relativeHeight="251659264" behindDoc="1" locked="0" layoutInCell="1" allowOverlap="1">
            <wp:simplePos x="0" y="0"/>
            <wp:positionH relativeFrom="column">
              <wp:posOffset>-143123</wp:posOffset>
            </wp:positionH>
            <wp:positionV relativeFrom="paragraph">
              <wp:posOffset>662636</wp:posOffset>
            </wp:positionV>
            <wp:extent cx="3180080" cy="2382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080" cy="2382520"/>
                    </a:xfrm>
                    <a:prstGeom prst="rect">
                      <a:avLst/>
                    </a:prstGeom>
                    <a:noFill/>
                    <a:ln>
                      <a:noFill/>
                    </a:ln>
                  </pic:spPr>
                </pic:pic>
              </a:graphicData>
            </a:graphic>
          </wp:anchor>
        </w:drawing>
      </w:r>
      <w:r w:rsidR="00305815">
        <w:t xml:space="preserve">Monthly return rates are calculated and a mean monthly return over the 10 year horizon is obtained for each stock. </w:t>
      </w:r>
      <w:r w:rsidR="00615261">
        <w:t>Then the variances are calculated to obtain the 37x37 covariance matrix. For the mean-variance portfolio analysis, we have all the data needed to solve the problem at this stage.</w:t>
      </w:r>
    </w:p>
    <w:p w:rsidR="00863F14" w:rsidRDefault="00863F14">
      <w:r w:rsidRPr="00863F14">
        <w:t xml:space="preserve"> </w:t>
      </w:r>
    </w:p>
    <w:p w:rsidR="00863F14" w:rsidRDefault="00863F14">
      <w:r>
        <w:t>The stochastic nature of the return can be visualized in Figure 2. While the variance distribution for the first</w:t>
      </w:r>
      <w:r w:rsidR="005308CD">
        <w:t xml:space="preserve"> 4 stocks are visualized in Figure 3. The density distribution shows an approximate form of a normal distribution.</w:t>
      </w:r>
    </w:p>
    <w:p w:rsidR="00B52892" w:rsidRDefault="00B52892">
      <w:r>
        <w:br w:type="page"/>
      </w:r>
    </w:p>
    <w:p w:rsidR="00347994" w:rsidRDefault="00347994" w:rsidP="00347994">
      <w:r>
        <w:lastRenderedPageBreak/>
        <w:t>From the MOSEK documentation for Quadratic Optimization, we need to cast our portfolio optimization problem into the standard form</w:t>
      </w:r>
    </w:p>
    <w:p w:rsidR="00347994" w:rsidRDefault="00347994" w:rsidP="00347994">
      <w:pPr>
        <w:jc w:val="center"/>
      </w:pPr>
      <w:r>
        <w:rPr>
          <w:noProof/>
        </w:rPr>
        <w:drawing>
          <wp:inline distT="0" distB="0" distL="0" distR="0">
            <wp:extent cx="4874149" cy="711269"/>
            <wp:effectExtent l="0" t="0" r="3175" b="0"/>
            <wp:docPr id="10" name="Picture 10" descr="C:\Users\h1liang\Downloads\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1liang\Downloads\q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3473" cy="744733"/>
                    </a:xfrm>
                    <a:prstGeom prst="rect">
                      <a:avLst/>
                    </a:prstGeom>
                    <a:noFill/>
                    <a:ln>
                      <a:noFill/>
                    </a:ln>
                  </pic:spPr>
                </pic:pic>
              </a:graphicData>
            </a:graphic>
          </wp:inline>
        </w:drawing>
      </w:r>
    </w:p>
    <w:p w:rsidR="00347994" w:rsidRPr="00347994" w:rsidRDefault="00347994" w:rsidP="00347994">
      <w:pPr>
        <w:rPr>
          <w:rFonts w:eastAsiaTheme="minorEastAsia"/>
        </w:rPr>
      </w:pPr>
      <w:r>
        <w:t xml:space="preserve">Our portfolio optimization problem is defined as: </w:t>
      </w:r>
      <m:oMath>
        <m:r>
          <w:rPr>
            <w:rFonts w:ascii="Cambria Math" w:hAnsi="Cambria Math"/>
          </w:rPr>
          <w:br/>
        </m:r>
      </m:oMath>
      <m:oMathPara>
        <m:oMath>
          <m:func>
            <m:funcPr>
              <m:ctrlPr>
                <w:rPr>
                  <w:rFonts w:ascii="Cambria Math" w:hAnsi="Cambria Math"/>
                  <w:i/>
                </w:rPr>
              </m:ctrlPr>
            </m:funcPr>
            <m:fName>
              <m:r>
                <m:rPr>
                  <m:sty m:val="p"/>
                </m:rPr>
                <w:rPr>
                  <w:rFonts w:ascii="Cambria Math" w:hAnsi="Cambria Math"/>
                </w:rPr>
                <m:t>min {</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Qx : </m:t>
              </m:r>
              <m:acc>
                <m:accPr>
                  <m:chr m:val="̅"/>
                  <m:ctrlPr>
                    <w:rPr>
                      <w:rFonts w:ascii="Cambria Math" w:hAnsi="Cambria Math"/>
                      <w:i/>
                    </w:rPr>
                  </m:ctrlPr>
                </m:accPr>
                <m:e>
                  <m:r>
                    <w:rPr>
                      <w:rFonts w:ascii="Cambria Math" w:hAnsi="Cambria Math"/>
                    </w:rPr>
                    <m:t>r</m:t>
                  </m:r>
                </m:e>
              </m:acc>
              <m:r>
                <w:rPr>
                  <w:rFonts w:ascii="Cambria Math" w:hAnsi="Cambria Math"/>
                </w:rPr>
                <m:t xml:space="preserve">x= μ,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x=1}</m:t>
              </m:r>
            </m:e>
          </m:func>
        </m:oMath>
      </m:oMathPara>
    </w:p>
    <w:p w:rsidR="00347994" w:rsidRDefault="00347994" w:rsidP="00347994">
      <w:r>
        <w:t xml:space="preserve">We need to cast the 2 constraints </w:t>
      </w:r>
      <w:r w:rsidR="008F5615">
        <w:t>into</w:t>
      </w:r>
      <w:r>
        <w:t xml:space="preserve"> the standard form for MOSEK</w:t>
      </w:r>
      <w:r w:rsidR="0015656D">
        <w:t>:</w:t>
      </w:r>
      <w:bookmarkStart w:id="0" w:name="_GoBack"/>
      <w:bookmarkEnd w:id="0"/>
    </w:p>
    <w:p w:rsidR="00347994" w:rsidRDefault="00347994" w:rsidP="00B52892">
      <w:pPr>
        <w:ind w:left="720"/>
      </w:pPr>
      <m:oMath>
        <m:r>
          <w:rPr>
            <w:rFonts w:ascii="Cambria Math" w:hAnsi="Cambria Math"/>
          </w:rPr>
          <m:t>x</m:t>
        </m:r>
      </m:oMath>
      <w:r>
        <w:rPr>
          <w:rFonts w:eastAsiaTheme="minorEastAsia"/>
        </w:rPr>
        <w:t xml:space="preserve"> </w:t>
      </w:r>
      <w:proofErr w:type="gramStart"/>
      <w:r>
        <w:rPr>
          <w:rFonts w:eastAsiaTheme="minorEastAsia"/>
        </w:rPr>
        <w:t>as</w:t>
      </w:r>
      <w:proofErr w:type="gramEnd"/>
      <w:r>
        <w:rPr>
          <w:rFonts w:eastAsiaTheme="minorEastAsia"/>
        </w:rPr>
        <w:t xml:space="preserve"> our 37x1 portfolio weight vector</w:t>
      </w:r>
    </w:p>
    <w:p w:rsidR="00347994" w:rsidRDefault="00347994" w:rsidP="00B52892">
      <w:pPr>
        <w:ind w:left="720"/>
        <w:rPr>
          <w:rFonts w:eastAsiaTheme="minorEastAsia"/>
        </w:rPr>
      </w:pPr>
      <m:oMath>
        <m:sSup>
          <m:sSupPr>
            <m:ctrlPr>
              <w:rPr>
                <w:rFonts w:ascii="Cambria Math" w:hAnsi="Cambria Math"/>
                <w:i/>
              </w:rPr>
            </m:ctrlPr>
          </m:sSupPr>
          <m:e>
            <m:r>
              <w:rPr>
                <w:rFonts w:ascii="Cambria Math" w:hAnsi="Cambria Math"/>
              </w:rPr>
              <m:t>Q</m:t>
            </m:r>
          </m:e>
          <m:sup>
            <m:r>
              <w:rPr>
                <w:rFonts w:ascii="Cambria Math" w:hAnsi="Cambria Math"/>
              </w:rPr>
              <m:t>o</m:t>
            </m:r>
          </m:sup>
        </m:sSup>
      </m:oMath>
      <w:r>
        <w:rPr>
          <w:rFonts w:eastAsiaTheme="minorEastAsia"/>
        </w:rPr>
        <w:t xml:space="preserve"> </w:t>
      </w:r>
      <w:proofErr w:type="gramStart"/>
      <w:r>
        <w:rPr>
          <w:rFonts w:eastAsiaTheme="minorEastAsia"/>
        </w:rPr>
        <w:t>as</w:t>
      </w:r>
      <w:proofErr w:type="gramEnd"/>
      <w:r>
        <w:rPr>
          <w:rFonts w:eastAsiaTheme="minorEastAsia"/>
        </w:rPr>
        <w:t xml:space="preserve"> our 37x37 covariance matrix</w:t>
      </w:r>
    </w:p>
    <w:p w:rsidR="00B52892" w:rsidRDefault="00B52892" w:rsidP="00B52892">
      <w:pPr>
        <w:ind w:left="720"/>
        <w:rPr>
          <w:rFonts w:eastAsiaTheme="minorEastAsia"/>
        </w:rPr>
      </w:pPr>
      <m:oMath>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 xml:space="preserve"> </m:t>
        </m:r>
      </m:oMath>
      <w:proofErr w:type="gramStart"/>
      <w:r>
        <w:rPr>
          <w:rFonts w:eastAsiaTheme="minorEastAsia"/>
        </w:rPr>
        <w:t>as</w:t>
      </w:r>
      <w:proofErr w:type="gramEnd"/>
      <w:r>
        <w:rPr>
          <w:rFonts w:eastAsiaTheme="minorEastAsia"/>
        </w:rPr>
        <w:t xml:space="preserve"> 37x37 zero matrix</w:t>
      </w:r>
    </w:p>
    <w:p w:rsidR="00BB1B6D" w:rsidRDefault="00BB1B6D" w:rsidP="00B52892">
      <w:pPr>
        <w:ind w:left="720"/>
        <w:rPr>
          <w:rFonts w:eastAsiaTheme="minorEastAsia"/>
        </w:rPr>
      </w:pPr>
      <m:oMath>
        <m:r>
          <w:rPr>
            <w:rFonts w:ascii="Cambria Math"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MSFT</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UNP</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1</m:t>
                  </m:r>
                </m:e>
                <m:e>
                  <m:r>
                    <w:rPr>
                      <w:rFonts w:ascii="Cambria Math" w:hAnsi="Cambria Math"/>
                    </w:rPr>
                    <m:t>⋯</m:t>
                  </m:r>
                </m:e>
                <m:e>
                  <m:r>
                    <w:rPr>
                      <w:rFonts w:ascii="Cambria Math" w:eastAsiaTheme="minorEastAsia" w:hAnsi="Cambria Math"/>
                    </w:rPr>
                    <m:t>1</m:t>
                  </m:r>
                </m:e>
              </m:mr>
            </m:m>
          </m:e>
        </m:d>
        <m:r>
          <w:rPr>
            <w:rFonts w:ascii="Cambria Math" w:eastAsiaTheme="minorEastAsia" w:hAnsi="Cambria Math"/>
          </w:rPr>
          <m:t xml:space="preserve"> </m:t>
        </m:r>
      </m:oMath>
      <w:r>
        <w:rPr>
          <w:rFonts w:eastAsiaTheme="minorEastAsia"/>
        </w:rPr>
        <w:t xml:space="preserve"> </w:t>
      </w:r>
      <w:proofErr w:type="gramStart"/>
      <w:r>
        <w:rPr>
          <w:rFonts w:eastAsiaTheme="minorEastAsia"/>
        </w:rPr>
        <w:t>as</w:t>
      </w:r>
      <w:proofErr w:type="gramEnd"/>
      <w:r>
        <w:rPr>
          <w:rFonts w:eastAsiaTheme="minorEastAsia"/>
        </w:rPr>
        <w:t xml:space="preserve"> constraint matrix</w:t>
      </w:r>
    </w:p>
    <w:p w:rsidR="007355E9" w:rsidRDefault="007355E9" w:rsidP="00B52892">
      <w:pPr>
        <w:ind w:left="720"/>
        <w:rPr>
          <w:rFonts w:eastAsiaTheme="minorEastAsia"/>
        </w:rPr>
      </w:pPr>
      <m:oMath>
        <m:r>
          <w:rPr>
            <w:rFonts w:ascii="Cambria Math" w:eastAsiaTheme="minorEastAsia" w:hAnsi="Cambria Math"/>
          </w:rPr>
          <m:t>c</m:t>
        </m:r>
      </m:oMath>
      <w:r>
        <w:rPr>
          <w:rFonts w:eastAsiaTheme="minorEastAsia"/>
        </w:rPr>
        <w:t xml:space="preserve"> </w:t>
      </w:r>
      <w:proofErr w:type="gramStart"/>
      <w:r>
        <w:rPr>
          <w:rFonts w:eastAsiaTheme="minorEastAsia"/>
        </w:rPr>
        <w:t>as</w:t>
      </w:r>
      <w:proofErr w:type="gramEnd"/>
      <w:r>
        <w:rPr>
          <w:rFonts w:eastAsiaTheme="minorEastAsia"/>
        </w:rPr>
        <w:t xml:space="preserve"> the 37x37 zero matrix</w:t>
      </w:r>
    </w:p>
    <w:p w:rsidR="007355E9" w:rsidRDefault="007355E9" w:rsidP="00B52892">
      <w:pPr>
        <w:ind w:left="720"/>
        <w:rPr>
          <w:rFonts w:eastAsiaTheme="minorEastAsia"/>
        </w:rPr>
      </w:pP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f</m:t>
            </m:r>
          </m:sup>
        </m:sSup>
      </m:oMath>
      <w:r>
        <w:rPr>
          <w:rFonts w:eastAsiaTheme="minorEastAsia"/>
        </w:rPr>
        <w:t xml:space="preserve"> </w:t>
      </w:r>
      <w:proofErr w:type="gramStart"/>
      <w:r>
        <w:rPr>
          <w:rFonts w:eastAsiaTheme="minorEastAsia"/>
        </w:rPr>
        <w:t>as</w:t>
      </w:r>
      <w:proofErr w:type="gramEnd"/>
      <w:r>
        <w:rPr>
          <w:rFonts w:eastAsiaTheme="minorEastAsia"/>
        </w:rPr>
        <w:t xml:space="preserve"> zero</w:t>
      </w:r>
    </w:p>
    <w:p w:rsidR="007355E9" w:rsidRDefault="007355E9" w:rsidP="00B52892">
      <w:pPr>
        <w:ind w:left="72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k</m:t>
            </m:r>
          </m:sub>
          <m:sup>
            <m:r>
              <w:rPr>
                <w:rFonts w:ascii="Cambria Math" w:eastAsiaTheme="minorEastAsia" w:hAnsi="Cambria Math"/>
              </w:rPr>
              <m:t>c</m:t>
            </m:r>
          </m:sup>
        </m:sSubSup>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μ</m:t>
                </m:r>
              </m:e>
              <m:e>
                <m:r>
                  <w:rPr>
                    <w:rFonts w:ascii="Cambria Math" w:eastAsiaTheme="minorEastAsia" w:hAnsi="Cambria Math"/>
                  </w:rPr>
                  <m:t>1</m:t>
                </m:r>
              </m:e>
            </m:eqArr>
          </m:e>
        </m:d>
      </m:oMath>
      <w:r>
        <w:rPr>
          <w:rFonts w:eastAsiaTheme="minorEastAsia"/>
        </w:rPr>
        <w:t xml:space="preserve">  , the matrix of lower bound of constraints</w:t>
      </w:r>
    </w:p>
    <w:p w:rsidR="007355E9" w:rsidRDefault="007355E9" w:rsidP="00B52892">
      <w:pPr>
        <w:ind w:left="72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k</m:t>
            </m:r>
          </m:sub>
          <m:sup>
            <m:r>
              <w:rPr>
                <w:rFonts w:ascii="Cambria Math" w:eastAsiaTheme="minorEastAsia" w:hAnsi="Cambria Math"/>
              </w:rPr>
              <m:t>c</m:t>
            </m:r>
          </m:sup>
        </m:sSubSup>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μ</m:t>
                </m:r>
              </m:e>
              <m:e>
                <m:r>
                  <w:rPr>
                    <w:rFonts w:ascii="Cambria Math" w:eastAsiaTheme="minorEastAsia" w:hAnsi="Cambria Math"/>
                  </w:rPr>
                  <m:t>1</m:t>
                </m:r>
              </m:e>
            </m:eqArr>
          </m:e>
        </m:d>
      </m:oMath>
      <w:r>
        <w:rPr>
          <w:rFonts w:eastAsiaTheme="minorEastAsia"/>
        </w:rPr>
        <w:t xml:space="preserve">  </w:t>
      </w:r>
      <w:r>
        <w:rPr>
          <w:rFonts w:eastAsiaTheme="minorEastAsia"/>
        </w:rPr>
        <w:t>, the matrix of upper bound of constraints</w:t>
      </w:r>
    </w:p>
    <w:p w:rsidR="00B52892" w:rsidRDefault="00B52892" w:rsidP="00B52892">
      <w:pPr>
        <w:ind w:left="72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j</m:t>
            </m:r>
          </m:sub>
          <m:sup>
            <m:r>
              <w:rPr>
                <w:rFonts w:ascii="Cambria Math" w:eastAsiaTheme="minorEastAsia" w:hAnsi="Cambria Math"/>
              </w:rPr>
              <m:t>x</m:t>
            </m:r>
          </m:sup>
        </m:sSubSup>
      </m:oMath>
      <w:r>
        <w:rPr>
          <w:rFonts w:eastAsiaTheme="minorEastAsia"/>
        </w:rPr>
        <w:t xml:space="preserve">  </w:t>
      </w:r>
      <w:r>
        <w:rPr>
          <w:rFonts w:eastAsiaTheme="minorEastAsia"/>
        </w:rPr>
        <w:t>, the empty vector</w:t>
      </w:r>
    </w:p>
    <w:p w:rsidR="00B52892" w:rsidRDefault="00B52892" w:rsidP="00B52892">
      <w:pPr>
        <w:ind w:left="72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x</m:t>
            </m:r>
          </m:sup>
        </m:sSubSup>
      </m:oMath>
      <w:r>
        <w:rPr>
          <w:rFonts w:eastAsiaTheme="minorEastAsia"/>
        </w:rPr>
        <w:t xml:space="preserve"> , </w:t>
      </w:r>
      <w:r>
        <w:rPr>
          <w:rFonts w:eastAsiaTheme="minorEastAsia"/>
        </w:rPr>
        <w:t>the empty vector</w:t>
      </w:r>
    </w:p>
    <w:p w:rsidR="00B52892" w:rsidRDefault="00B52892" w:rsidP="00B52892">
      <w:pPr>
        <w:rPr>
          <w:rFonts w:eastAsiaTheme="minorEastAsia"/>
        </w:rPr>
      </w:pPr>
    </w:p>
    <w:p w:rsidR="00347994" w:rsidRPr="00026D65" w:rsidRDefault="00B52892" w:rsidP="00026D65">
      <w:pPr>
        <w:autoSpaceDE w:val="0"/>
        <w:autoSpaceDN w:val="0"/>
        <w:adjustRightInd w:val="0"/>
        <w:spacing w:after="0" w:line="240" w:lineRule="auto"/>
        <w:rPr>
          <w:rFonts w:ascii="Courier New" w:hAnsi="Courier New" w:cs="Courier New"/>
          <w:sz w:val="24"/>
          <w:szCs w:val="24"/>
        </w:rPr>
      </w:pPr>
      <w:r>
        <w:t xml:space="preserve">The above form is defined </w:t>
      </w:r>
      <w:r w:rsidR="00026D65">
        <w:t xml:space="preserve">in MATLAB and </w:t>
      </w:r>
      <w:proofErr w:type="spellStart"/>
      <w:proofErr w:type="gramStart"/>
      <w:r w:rsidR="00026D65">
        <w:rPr>
          <w:rFonts w:ascii="Courier New" w:hAnsi="Courier New" w:cs="Courier New"/>
          <w:color w:val="000000"/>
          <w:sz w:val="20"/>
          <w:szCs w:val="20"/>
        </w:rPr>
        <w:t>mskqpopt</w:t>
      </w:r>
      <w:proofErr w:type="spellEnd"/>
      <w:r w:rsidR="00026D65">
        <w:rPr>
          <w:rFonts w:ascii="Courier New" w:hAnsi="Courier New" w:cs="Courier New"/>
          <w:sz w:val="24"/>
          <w:szCs w:val="24"/>
        </w:rPr>
        <w:t>(</w:t>
      </w:r>
      <w:proofErr w:type="gramEnd"/>
      <w:r w:rsidR="00026D65">
        <w:rPr>
          <w:rFonts w:ascii="Courier New" w:hAnsi="Courier New" w:cs="Courier New"/>
          <w:sz w:val="24"/>
          <w:szCs w:val="24"/>
        </w:rPr>
        <w:t>)</w:t>
      </w:r>
      <w:r w:rsidR="00026D65">
        <w:t xml:space="preserve">is executed to return 37x1 vector </w:t>
      </w:r>
      <m:oMath>
        <m:r>
          <w:rPr>
            <w:rFonts w:ascii="Cambria Math" w:hAnsi="Cambria Math"/>
          </w:rPr>
          <m:t>x</m:t>
        </m:r>
      </m:oMath>
      <w:r w:rsidR="00026D65">
        <w:rPr>
          <w:rFonts w:eastAsiaTheme="minorEastAsia"/>
        </w:rPr>
        <w:t xml:space="preserve"> if a solution exist and return null vector otherwise.</w:t>
      </w:r>
    </w:p>
    <w:p w:rsidR="006A6FB3" w:rsidRDefault="006A6FB3" w:rsidP="00347994">
      <w:r>
        <w:br w:type="page"/>
      </w:r>
    </w:p>
    <w:p w:rsidR="005308CD" w:rsidRPr="000D6709" w:rsidRDefault="005308CD">
      <w:pPr>
        <w:rPr>
          <w:sz w:val="34"/>
          <w:szCs w:val="34"/>
        </w:rPr>
      </w:pPr>
      <w:r w:rsidRPr="000D6709">
        <w:rPr>
          <w:sz w:val="34"/>
          <w:szCs w:val="34"/>
        </w:rPr>
        <w:lastRenderedPageBreak/>
        <w:t>Efficient Frontier</w:t>
      </w:r>
    </w:p>
    <w:p w:rsidR="00347994" w:rsidRDefault="00615261">
      <w:r>
        <w:t xml:space="preserve">The efficient frontier is solved for both cases of any leverage and no leverage using the MOSEK solver. We use the method of fixed return and minimize variance to solve for the minimum possible risk at each return. </w:t>
      </w:r>
    </w:p>
    <w:p w:rsidR="00347994" w:rsidRPr="00347994" w:rsidRDefault="00347994">
      <w:pPr>
        <w:rPr>
          <w:rFonts w:eastAsiaTheme="minorEastAsia"/>
        </w:rPr>
      </w:pPr>
      <m:oMathPara>
        <m:oMath>
          <m:func>
            <m:funcPr>
              <m:ctrlPr>
                <w:rPr>
                  <w:rFonts w:ascii="Cambria Math" w:hAnsi="Cambria Math"/>
                  <w:i/>
                </w:rPr>
              </m:ctrlPr>
            </m:funcPr>
            <m:fName>
              <m:r>
                <m:rPr>
                  <m:sty m:val="p"/>
                </m:rPr>
                <w:rPr>
                  <w:rFonts w:ascii="Cambria Math" w:hAnsi="Cambria Math"/>
                </w:rPr>
                <m:t>min {</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Qx : </m:t>
              </m:r>
              <m:acc>
                <m:accPr>
                  <m:chr m:val="̅"/>
                  <m:ctrlPr>
                    <w:rPr>
                      <w:rFonts w:ascii="Cambria Math" w:hAnsi="Cambria Math"/>
                      <w:i/>
                    </w:rPr>
                  </m:ctrlPr>
                </m:accPr>
                <m:e>
                  <m:r>
                    <w:rPr>
                      <w:rFonts w:ascii="Cambria Math" w:hAnsi="Cambria Math"/>
                    </w:rPr>
                    <m:t>r</m:t>
                  </m:r>
                </m:e>
              </m:acc>
              <m:r>
                <w:rPr>
                  <w:rFonts w:ascii="Cambria Math" w:hAnsi="Cambria Math"/>
                </w:rPr>
                <m:t xml:space="preserve">x= μ,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x=1}</m:t>
              </m:r>
            </m:e>
          </m:func>
        </m:oMath>
      </m:oMathPara>
    </w:p>
    <w:p w:rsidR="002D48B8" w:rsidRDefault="00615261">
      <w:r>
        <w:t xml:space="preserve">These are then plotted </w:t>
      </w:r>
      <w:r w:rsidR="00273060">
        <w:t>to yield the efficient frontier.</w:t>
      </w:r>
    </w:p>
    <w:p w:rsidR="00615261" w:rsidRDefault="00273060" w:rsidP="002D48B8">
      <w:pPr>
        <w:jc w:val="center"/>
      </w:pPr>
      <w:r w:rsidRPr="00273060">
        <w:rPr>
          <w:noProof/>
        </w:rPr>
        <w:drawing>
          <wp:inline distT="0" distB="0" distL="0" distR="0">
            <wp:extent cx="5327650" cy="399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rsidR="002D48B8" w:rsidRDefault="002D48B8" w:rsidP="002D48B8">
      <w:pPr>
        <w:jc w:val="center"/>
      </w:pPr>
    </w:p>
    <w:p w:rsidR="00A11CD9" w:rsidRDefault="00A11CD9">
      <w:r>
        <w:t>The dotted blue line represents the efficient frontier for any leverage (short-selling allowed for any quantity) and solid red curve is no leverage</w:t>
      </w:r>
      <w:r w:rsidR="00E83C0D">
        <w:t xml:space="preserve"> (no short-selling allowed)</w:t>
      </w:r>
      <w:r>
        <w:t xml:space="preserve">. Any point on the curves represent a solution for the </w:t>
      </w:r>
      <w:r w:rsidR="00E83C0D">
        <w:t>portfolio weights</w:t>
      </w:r>
      <w:r>
        <w:t>. The investor can then choose the target return based on the acceptable risk and obtain the portfolio weights as a 37 element vector.</w:t>
      </w:r>
    </w:p>
    <w:p w:rsidR="00A11CD9" w:rsidRDefault="00A11CD9" w:rsidP="00A11CD9">
      <w:pPr>
        <w:jc w:val="both"/>
      </w:pPr>
      <w:r>
        <w:t xml:space="preserve">Firstly, note that investing in any solution on the curves will yield a higher return than if one were to invest in an individual stock for the same risk. </w:t>
      </w:r>
    </w:p>
    <w:p w:rsidR="002D48B8" w:rsidRDefault="002D48B8" w:rsidP="002D48B8">
      <w:pPr>
        <w:jc w:val="both"/>
      </w:pPr>
      <w:r>
        <w:t>Secondly, note that when no leverage is allowed, the solution set start and end at the stock with the maximum and minimum return.</w:t>
      </w:r>
    </w:p>
    <w:p w:rsidR="002D48B8" w:rsidRDefault="002D48B8" w:rsidP="00A11CD9">
      <w:pPr>
        <w:jc w:val="both"/>
      </w:pPr>
    </w:p>
    <w:p w:rsidR="00A11CD9" w:rsidRDefault="00A11CD9" w:rsidP="002D48B8">
      <w:pPr>
        <w:jc w:val="center"/>
      </w:pPr>
      <w:r w:rsidRPr="00A11CD9">
        <w:rPr>
          <w:noProof/>
        </w:rPr>
        <w:lastRenderedPageBreak/>
        <w:drawing>
          <wp:inline distT="0" distB="0" distL="0" distR="0">
            <wp:extent cx="5112689" cy="3991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4034"/>
                    <a:stretch/>
                  </pic:blipFill>
                  <pic:spPr bwMode="auto">
                    <a:xfrm>
                      <a:off x="0" y="0"/>
                      <a:ext cx="5112689" cy="3991610"/>
                    </a:xfrm>
                    <a:prstGeom prst="rect">
                      <a:avLst/>
                    </a:prstGeom>
                    <a:noFill/>
                    <a:ln>
                      <a:noFill/>
                    </a:ln>
                    <a:extLst>
                      <a:ext uri="{53640926-AAD7-44D8-BBD7-CCE9431645EC}">
                        <a14:shadowObscured xmlns:a14="http://schemas.microsoft.com/office/drawing/2010/main"/>
                      </a:ext>
                    </a:extLst>
                  </pic:spPr>
                </pic:pic>
              </a:graphicData>
            </a:graphic>
          </wp:inline>
        </w:drawing>
      </w:r>
    </w:p>
    <w:p w:rsidR="002D48B8" w:rsidRDefault="002D48B8" w:rsidP="00A11CD9">
      <w:pPr>
        <w:jc w:val="both"/>
      </w:pPr>
    </w:p>
    <w:p w:rsidR="002D48B8" w:rsidRDefault="002D48B8">
      <w:pPr>
        <w:rPr>
          <w:sz w:val="34"/>
          <w:szCs w:val="34"/>
        </w:rPr>
      </w:pPr>
      <w:r>
        <w:rPr>
          <w:sz w:val="34"/>
          <w:szCs w:val="34"/>
        </w:rPr>
        <w:br w:type="page"/>
      </w:r>
    </w:p>
    <w:p w:rsidR="00E83C0D" w:rsidRPr="002D48B8" w:rsidRDefault="00E83C0D" w:rsidP="00A11CD9">
      <w:pPr>
        <w:jc w:val="both"/>
        <w:rPr>
          <w:sz w:val="34"/>
          <w:szCs w:val="34"/>
        </w:rPr>
      </w:pPr>
      <w:r w:rsidRPr="002D48B8">
        <w:rPr>
          <w:sz w:val="34"/>
          <w:szCs w:val="34"/>
        </w:rPr>
        <w:lastRenderedPageBreak/>
        <w:t>Return Performance</w:t>
      </w:r>
    </w:p>
    <w:p w:rsidR="00E83C0D" w:rsidRDefault="00E83C0D" w:rsidP="00A11CD9">
      <w:pPr>
        <w:jc w:val="both"/>
      </w:pPr>
      <w:r>
        <w:t xml:space="preserve">Given the efficient frontier is constructed from EOM data from 05/01/2009 to 05/01/2019, and that we now have a new monthly close price for the month of May, we may compare the two investment strategies where one investor would invest in the S&amp;P500 benchmark and another investor would invest based on the portfolio weights. </w:t>
      </w:r>
    </w:p>
    <w:tbl>
      <w:tblPr>
        <w:tblStyle w:val="TableGrid"/>
        <w:tblpPr w:leftFromText="180" w:rightFromText="180" w:vertAnchor="text" w:horzAnchor="page" w:tblpX="6174" w:tblpY="1506"/>
        <w:tblW w:w="0" w:type="auto"/>
        <w:tblLook w:val="04A0" w:firstRow="1" w:lastRow="0" w:firstColumn="1" w:lastColumn="0" w:noHBand="0" w:noVBand="1"/>
      </w:tblPr>
      <w:tblGrid>
        <w:gridCol w:w="1255"/>
        <w:gridCol w:w="1260"/>
      </w:tblGrid>
      <w:tr w:rsidR="00425214" w:rsidTr="003A6CE4">
        <w:tc>
          <w:tcPr>
            <w:tcW w:w="1255" w:type="dxa"/>
          </w:tcPr>
          <w:p w:rsidR="00425214" w:rsidRDefault="00425214" w:rsidP="003A6CE4">
            <w:pPr>
              <w:jc w:val="both"/>
            </w:pPr>
            <w:r>
              <w:t>Stock</w:t>
            </w:r>
          </w:p>
        </w:tc>
        <w:tc>
          <w:tcPr>
            <w:tcW w:w="1260" w:type="dxa"/>
          </w:tcPr>
          <w:p w:rsidR="00425214" w:rsidRDefault="00425214" w:rsidP="003A6CE4">
            <w:pPr>
              <w:jc w:val="both"/>
            </w:pPr>
            <w:r>
              <w:t>% Change</w:t>
            </w:r>
          </w:p>
        </w:tc>
      </w:tr>
      <w:tr w:rsidR="00425214" w:rsidTr="003A6CE4">
        <w:tc>
          <w:tcPr>
            <w:tcW w:w="1255" w:type="dxa"/>
          </w:tcPr>
          <w:p w:rsidR="00425214" w:rsidRDefault="00425214" w:rsidP="003A6CE4">
            <w:pPr>
              <w:jc w:val="both"/>
            </w:pPr>
            <w:r>
              <w:t>AAPL</w:t>
            </w:r>
          </w:p>
        </w:tc>
        <w:tc>
          <w:tcPr>
            <w:tcW w:w="1260" w:type="dxa"/>
          </w:tcPr>
          <w:p w:rsidR="00425214" w:rsidRPr="009B73C2" w:rsidRDefault="00425214" w:rsidP="003A6CE4">
            <w:pPr>
              <w:jc w:val="both"/>
              <w:rPr>
                <w:color w:val="FF0000"/>
              </w:rPr>
            </w:pPr>
            <w:r w:rsidRPr="009B73C2">
              <w:rPr>
                <w:color w:val="FF0000"/>
              </w:rPr>
              <w:t>- 12.78 %</w:t>
            </w:r>
          </w:p>
        </w:tc>
      </w:tr>
      <w:tr w:rsidR="00425214" w:rsidTr="003A6CE4">
        <w:tc>
          <w:tcPr>
            <w:tcW w:w="1255" w:type="dxa"/>
          </w:tcPr>
          <w:p w:rsidR="00425214" w:rsidRDefault="00425214" w:rsidP="003A6CE4">
            <w:pPr>
              <w:jc w:val="both"/>
            </w:pPr>
            <w:r>
              <w:t>AMZN</w:t>
            </w:r>
          </w:p>
        </w:tc>
        <w:tc>
          <w:tcPr>
            <w:tcW w:w="1260" w:type="dxa"/>
          </w:tcPr>
          <w:p w:rsidR="00425214" w:rsidRPr="009B73C2" w:rsidRDefault="00425214" w:rsidP="003A6CE4">
            <w:pPr>
              <w:jc w:val="both"/>
              <w:rPr>
                <w:color w:val="FF0000"/>
              </w:rPr>
            </w:pPr>
            <w:r w:rsidRPr="009B73C2">
              <w:rPr>
                <w:color w:val="FF0000"/>
              </w:rPr>
              <w:t>- 7.86 %</w:t>
            </w:r>
          </w:p>
        </w:tc>
      </w:tr>
      <w:tr w:rsidR="00425214" w:rsidTr="003A6CE4">
        <w:tc>
          <w:tcPr>
            <w:tcW w:w="1255" w:type="dxa"/>
          </w:tcPr>
          <w:p w:rsidR="00425214" w:rsidRDefault="00425214" w:rsidP="003A6CE4">
            <w:pPr>
              <w:jc w:val="both"/>
            </w:pPr>
            <w:r>
              <w:t>GOOG</w:t>
            </w:r>
          </w:p>
        </w:tc>
        <w:tc>
          <w:tcPr>
            <w:tcW w:w="1260" w:type="dxa"/>
          </w:tcPr>
          <w:p w:rsidR="00425214" w:rsidRPr="009B73C2" w:rsidRDefault="00425214" w:rsidP="003A6CE4">
            <w:pPr>
              <w:jc w:val="both"/>
              <w:rPr>
                <w:color w:val="FF0000"/>
              </w:rPr>
            </w:pPr>
            <w:r w:rsidRPr="009B73C2">
              <w:rPr>
                <w:color w:val="FF0000"/>
              </w:rPr>
              <w:t>- 7.14 %</w:t>
            </w:r>
          </w:p>
        </w:tc>
      </w:tr>
      <w:tr w:rsidR="00425214" w:rsidTr="003A6CE4">
        <w:tc>
          <w:tcPr>
            <w:tcW w:w="1255" w:type="dxa"/>
          </w:tcPr>
          <w:p w:rsidR="00425214" w:rsidRDefault="00425214" w:rsidP="003A6CE4">
            <w:pPr>
              <w:jc w:val="both"/>
            </w:pPr>
            <w:r>
              <w:t>UNH</w:t>
            </w:r>
          </w:p>
        </w:tc>
        <w:tc>
          <w:tcPr>
            <w:tcW w:w="1260" w:type="dxa"/>
          </w:tcPr>
          <w:p w:rsidR="00425214" w:rsidRPr="009B73C2" w:rsidRDefault="00425214" w:rsidP="003A6CE4">
            <w:pPr>
              <w:jc w:val="both"/>
              <w:rPr>
                <w:color w:val="FF0000"/>
              </w:rPr>
            </w:pPr>
            <w:r w:rsidRPr="009B73C2">
              <w:rPr>
                <w:color w:val="70AD47" w:themeColor="accent6"/>
              </w:rPr>
              <w:t>+ 3.75 %</w:t>
            </w:r>
          </w:p>
        </w:tc>
      </w:tr>
      <w:tr w:rsidR="00425214" w:rsidTr="003A6CE4">
        <w:tc>
          <w:tcPr>
            <w:tcW w:w="1255" w:type="dxa"/>
          </w:tcPr>
          <w:p w:rsidR="00425214" w:rsidRDefault="00425214" w:rsidP="003A6CE4">
            <w:pPr>
              <w:jc w:val="both"/>
            </w:pPr>
            <w:r>
              <w:t>MA</w:t>
            </w:r>
          </w:p>
        </w:tc>
        <w:tc>
          <w:tcPr>
            <w:tcW w:w="1260" w:type="dxa"/>
          </w:tcPr>
          <w:p w:rsidR="00425214" w:rsidRPr="009B73C2" w:rsidRDefault="00425214" w:rsidP="003A6CE4">
            <w:pPr>
              <w:jc w:val="both"/>
              <w:rPr>
                <w:color w:val="FF0000"/>
              </w:rPr>
            </w:pPr>
            <w:r w:rsidRPr="009B73C2">
              <w:rPr>
                <w:color w:val="FF0000"/>
              </w:rPr>
              <w:t>- 1.08 %</w:t>
            </w:r>
          </w:p>
        </w:tc>
      </w:tr>
      <w:tr w:rsidR="00425214" w:rsidTr="003A6CE4">
        <w:tc>
          <w:tcPr>
            <w:tcW w:w="1255" w:type="dxa"/>
          </w:tcPr>
          <w:p w:rsidR="00425214" w:rsidRDefault="00425214" w:rsidP="003A6CE4">
            <w:pPr>
              <w:jc w:val="both"/>
            </w:pPr>
            <w:r>
              <w:t>BA</w:t>
            </w:r>
          </w:p>
        </w:tc>
        <w:tc>
          <w:tcPr>
            <w:tcW w:w="1260" w:type="dxa"/>
          </w:tcPr>
          <w:p w:rsidR="00425214" w:rsidRPr="009B73C2" w:rsidRDefault="00425214" w:rsidP="003A6CE4">
            <w:pPr>
              <w:jc w:val="both"/>
              <w:rPr>
                <w:color w:val="FF0000"/>
              </w:rPr>
            </w:pPr>
            <w:r w:rsidRPr="009B73C2">
              <w:rPr>
                <w:color w:val="FF0000"/>
              </w:rPr>
              <w:t>- 9.55 %</w:t>
            </w:r>
          </w:p>
        </w:tc>
      </w:tr>
      <w:tr w:rsidR="00425214" w:rsidTr="003A6CE4">
        <w:tc>
          <w:tcPr>
            <w:tcW w:w="1255" w:type="dxa"/>
          </w:tcPr>
          <w:p w:rsidR="00425214" w:rsidRDefault="00425214" w:rsidP="003A6CE4">
            <w:pPr>
              <w:jc w:val="both"/>
            </w:pPr>
            <w:r>
              <w:t>NFLX</w:t>
            </w:r>
          </w:p>
        </w:tc>
        <w:tc>
          <w:tcPr>
            <w:tcW w:w="1260" w:type="dxa"/>
          </w:tcPr>
          <w:p w:rsidR="00425214" w:rsidRPr="009B73C2" w:rsidRDefault="00425214" w:rsidP="003A6CE4">
            <w:pPr>
              <w:jc w:val="both"/>
              <w:rPr>
                <w:color w:val="FF0000"/>
              </w:rPr>
            </w:pPr>
            <w:r w:rsidRPr="009B73C2">
              <w:rPr>
                <w:color w:val="FF0000"/>
              </w:rPr>
              <w:t>- 7.36 %</w:t>
            </w:r>
          </w:p>
        </w:tc>
      </w:tr>
      <w:tr w:rsidR="00425214" w:rsidTr="003A6CE4">
        <w:tc>
          <w:tcPr>
            <w:tcW w:w="1255" w:type="dxa"/>
          </w:tcPr>
          <w:p w:rsidR="00425214" w:rsidRDefault="00425214" w:rsidP="003A6CE4">
            <w:pPr>
              <w:jc w:val="both"/>
            </w:pPr>
            <w:r>
              <w:t>MCD</w:t>
            </w:r>
          </w:p>
        </w:tc>
        <w:tc>
          <w:tcPr>
            <w:tcW w:w="1260" w:type="dxa"/>
          </w:tcPr>
          <w:p w:rsidR="00425214" w:rsidRPr="009B73C2" w:rsidRDefault="00425214" w:rsidP="003A6CE4">
            <w:pPr>
              <w:jc w:val="both"/>
              <w:rPr>
                <w:color w:val="FF0000"/>
              </w:rPr>
            </w:pPr>
            <w:r w:rsidRPr="009B73C2">
              <w:rPr>
                <w:color w:val="70AD47" w:themeColor="accent6"/>
              </w:rPr>
              <w:t>+ 0.35 %</w:t>
            </w:r>
          </w:p>
        </w:tc>
      </w:tr>
      <w:tr w:rsidR="00425214" w:rsidTr="003A6CE4">
        <w:tc>
          <w:tcPr>
            <w:tcW w:w="1255" w:type="dxa"/>
          </w:tcPr>
          <w:p w:rsidR="00425214" w:rsidRDefault="00425214" w:rsidP="003A6CE4">
            <w:pPr>
              <w:jc w:val="both"/>
            </w:pPr>
            <w:r>
              <w:t>UNP</w:t>
            </w:r>
          </w:p>
        </w:tc>
        <w:tc>
          <w:tcPr>
            <w:tcW w:w="1260" w:type="dxa"/>
          </w:tcPr>
          <w:p w:rsidR="00425214" w:rsidRPr="009B73C2" w:rsidRDefault="00425214" w:rsidP="003A6CE4">
            <w:pPr>
              <w:jc w:val="both"/>
              <w:rPr>
                <w:color w:val="FF0000"/>
              </w:rPr>
            </w:pPr>
            <w:r w:rsidRPr="009B73C2">
              <w:rPr>
                <w:color w:val="FF0000"/>
              </w:rPr>
              <w:t>- 5.8%</w:t>
            </w:r>
          </w:p>
        </w:tc>
      </w:tr>
    </w:tbl>
    <w:p w:rsidR="00E83C0D" w:rsidRDefault="00E83C0D" w:rsidP="00A11CD9">
      <w:pPr>
        <w:jc w:val="both"/>
      </w:pPr>
      <w:r>
        <w:t>Assuming the investor would accept a 5% risk and 2.5% return,</w:t>
      </w:r>
      <w:r w:rsidR="009B73C2">
        <w:t xml:space="preserve"> the investor would choose a portfolio with the following stocks and weights</w:t>
      </w:r>
      <w:r w:rsidR="00425214">
        <w:t xml:space="preserve"> (see Table 1)</w:t>
      </w:r>
      <w:r w:rsidR="009B73C2">
        <w:t>.</w:t>
      </w:r>
      <w:r w:rsidR="00425214">
        <w:t xml:space="preserve"> </w:t>
      </w:r>
      <w:r w:rsidR="00425214">
        <w:t xml:space="preserve">Monthly close for the 9 selected stocks during </w:t>
      </w:r>
      <w:r w:rsidR="00425214">
        <w:t>the month of May 2019 is also given (Table 2)</w:t>
      </w:r>
    </w:p>
    <w:p w:rsidR="003A6CE4" w:rsidRDefault="003A6CE4" w:rsidP="00A11CD9">
      <w:pPr>
        <w:jc w:val="both"/>
      </w:pPr>
    </w:p>
    <w:tbl>
      <w:tblPr>
        <w:tblStyle w:val="TableGrid"/>
        <w:tblW w:w="0" w:type="auto"/>
        <w:tblInd w:w="1497" w:type="dxa"/>
        <w:tblLook w:val="04A0" w:firstRow="1" w:lastRow="0" w:firstColumn="1" w:lastColumn="0" w:noHBand="0" w:noVBand="1"/>
      </w:tblPr>
      <w:tblGrid>
        <w:gridCol w:w="1255"/>
        <w:gridCol w:w="1260"/>
      </w:tblGrid>
      <w:tr w:rsidR="009B73C2" w:rsidTr="00425214">
        <w:tc>
          <w:tcPr>
            <w:tcW w:w="1255" w:type="dxa"/>
          </w:tcPr>
          <w:p w:rsidR="009B73C2" w:rsidRDefault="009B73C2" w:rsidP="00A11CD9">
            <w:pPr>
              <w:jc w:val="both"/>
            </w:pPr>
            <w:r>
              <w:t>Stock</w:t>
            </w:r>
          </w:p>
        </w:tc>
        <w:tc>
          <w:tcPr>
            <w:tcW w:w="1260" w:type="dxa"/>
          </w:tcPr>
          <w:p w:rsidR="009B73C2" w:rsidRDefault="009B73C2" w:rsidP="00A11CD9">
            <w:pPr>
              <w:jc w:val="both"/>
            </w:pPr>
            <w:r>
              <w:t>Weight</w:t>
            </w:r>
          </w:p>
        </w:tc>
      </w:tr>
      <w:tr w:rsidR="009B73C2" w:rsidTr="00425214">
        <w:tc>
          <w:tcPr>
            <w:tcW w:w="1255" w:type="dxa"/>
          </w:tcPr>
          <w:p w:rsidR="009B73C2" w:rsidRDefault="009B73C2" w:rsidP="00A11CD9">
            <w:pPr>
              <w:jc w:val="both"/>
            </w:pPr>
            <w:r>
              <w:t>AAPL</w:t>
            </w:r>
          </w:p>
        </w:tc>
        <w:tc>
          <w:tcPr>
            <w:tcW w:w="1260" w:type="dxa"/>
          </w:tcPr>
          <w:p w:rsidR="009B73C2" w:rsidRDefault="009B73C2" w:rsidP="00A11CD9">
            <w:pPr>
              <w:jc w:val="both"/>
            </w:pPr>
            <w:r>
              <w:t>0.1361</w:t>
            </w:r>
          </w:p>
        </w:tc>
      </w:tr>
      <w:tr w:rsidR="009B73C2" w:rsidTr="00425214">
        <w:tc>
          <w:tcPr>
            <w:tcW w:w="1255" w:type="dxa"/>
          </w:tcPr>
          <w:p w:rsidR="009B73C2" w:rsidRDefault="009B73C2" w:rsidP="00A11CD9">
            <w:pPr>
              <w:jc w:val="both"/>
            </w:pPr>
            <w:r>
              <w:t>AMZN</w:t>
            </w:r>
          </w:p>
        </w:tc>
        <w:tc>
          <w:tcPr>
            <w:tcW w:w="1260" w:type="dxa"/>
          </w:tcPr>
          <w:p w:rsidR="009B73C2" w:rsidRDefault="009B73C2" w:rsidP="00A11CD9">
            <w:pPr>
              <w:jc w:val="both"/>
            </w:pPr>
            <w:r>
              <w:t>0.0419</w:t>
            </w:r>
          </w:p>
        </w:tc>
      </w:tr>
      <w:tr w:rsidR="009B73C2" w:rsidTr="00425214">
        <w:tc>
          <w:tcPr>
            <w:tcW w:w="1255" w:type="dxa"/>
          </w:tcPr>
          <w:p w:rsidR="009B73C2" w:rsidRDefault="009B73C2" w:rsidP="00A11CD9">
            <w:pPr>
              <w:jc w:val="both"/>
            </w:pPr>
            <w:r>
              <w:t>GOOG</w:t>
            </w:r>
          </w:p>
        </w:tc>
        <w:tc>
          <w:tcPr>
            <w:tcW w:w="1260" w:type="dxa"/>
          </w:tcPr>
          <w:p w:rsidR="009B73C2" w:rsidRDefault="009B73C2" w:rsidP="00A11CD9">
            <w:pPr>
              <w:jc w:val="both"/>
            </w:pPr>
            <w:r>
              <w:t>0.0137</w:t>
            </w:r>
          </w:p>
        </w:tc>
      </w:tr>
      <w:tr w:rsidR="009B73C2" w:rsidTr="00425214">
        <w:tc>
          <w:tcPr>
            <w:tcW w:w="1255" w:type="dxa"/>
          </w:tcPr>
          <w:p w:rsidR="009B73C2" w:rsidRDefault="009B73C2" w:rsidP="00A11CD9">
            <w:pPr>
              <w:jc w:val="both"/>
            </w:pPr>
            <w:r>
              <w:t>UNH</w:t>
            </w:r>
          </w:p>
        </w:tc>
        <w:tc>
          <w:tcPr>
            <w:tcW w:w="1260" w:type="dxa"/>
          </w:tcPr>
          <w:p w:rsidR="009B73C2" w:rsidRDefault="009B73C2" w:rsidP="00A11CD9">
            <w:pPr>
              <w:jc w:val="both"/>
            </w:pPr>
            <w:r>
              <w:t>0.2816</w:t>
            </w:r>
          </w:p>
        </w:tc>
      </w:tr>
      <w:tr w:rsidR="009B73C2" w:rsidTr="00425214">
        <w:tc>
          <w:tcPr>
            <w:tcW w:w="1255" w:type="dxa"/>
          </w:tcPr>
          <w:p w:rsidR="009B73C2" w:rsidRDefault="009B73C2" w:rsidP="00A11CD9">
            <w:pPr>
              <w:jc w:val="both"/>
            </w:pPr>
            <w:r>
              <w:t>MA</w:t>
            </w:r>
          </w:p>
        </w:tc>
        <w:tc>
          <w:tcPr>
            <w:tcW w:w="1260" w:type="dxa"/>
          </w:tcPr>
          <w:p w:rsidR="009B73C2" w:rsidRDefault="009B73C2" w:rsidP="00A11CD9">
            <w:pPr>
              <w:jc w:val="both"/>
            </w:pPr>
            <w:r>
              <w:t>0.0905</w:t>
            </w:r>
          </w:p>
        </w:tc>
      </w:tr>
      <w:tr w:rsidR="009B73C2" w:rsidTr="00425214">
        <w:tc>
          <w:tcPr>
            <w:tcW w:w="1255" w:type="dxa"/>
          </w:tcPr>
          <w:p w:rsidR="009B73C2" w:rsidRDefault="009B73C2" w:rsidP="00A11CD9">
            <w:pPr>
              <w:jc w:val="both"/>
            </w:pPr>
            <w:r>
              <w:t>BA</w:t>
            </w:r>
          </w:p>
        </w:tc>
        <w:tc>
          <w:tcPr>
            <w:tcW w:w="1260" w:type="dxa"/>
          </w:tcPr>
          <w:p w:rsidR="009B73C2" w:rsidRDefault="009B73C2" w:rsidP="00A11CD9">
            <w:pPr>
              <w:jc w:val="both"/>
            </w:pPr>
            <w:r>
              <w:t>0.0352</w:t>
            </w:r>
          </w:p>
        </w:tc>
      </w:tr>
      <w:tr w:rsidR="009B73C2" w:rsidTr="00425214">
        <w:tc>
          <w:tcPr>
            <w:tcW w:w="1255" w:type="dxa"/>
          </w:tcPr>
          <w:p w:rsidR="009B73C2" w:rsidRDefault="009B73C2" w:rsidP="00A11CD9">
            <w:pPr>
              <w:jc w:val="both"/>
            </w:pPr>
            <w:r>
              <w:t>NFLX</w:t>
            </w:r>
          </w:p>
        </w:tc>
        <w:tc>
          <w:tcPr>
            <w:tcW w:w="1260" w:type="dxa"/>
          </w:tcPr>
          <w:p w:rsidR="009B73C2" w:rsidRDefault="009B73C2" w:rsidP="00A11CD9">
            <w:pPr>
              <w:jc w:val="both"/>
            </w:pPr>
            <w:r>
              <w:t>0.0449</w:t>
            </w:r>
          </w:p>
        </w:tc>
      </w:tr>
      <w:tr w:rsidR="009B73C2" w:rsidTr="00425214">
        <w:tc>
          <w:tcPr>
            <w:tcW w:w="1255" w:type="dxa"/>
          </w:tcPr>
          <w:p w:rsidR="009B73C2" w:rsidRDefault="009B73C2" w:rsidP="00A11CD9">
            <w:pPr>
              <w:jc w:val="both"/>
            </w:pPr>
            <w:r>
              <w:t>MCD</w:t>
            </w:r>
          </w:p>
        </w:tc>
        <w:tc>
          <w:tcPr>
            <w:tcW w:w="1260" w:type="dxa"/>
          </w:tcPr>
          <w:p w:rsidR="009B73C2" w:rsidRDefault="009B73C2" w:rsidP="00A11CD9">
            <w:pPr>
              <w:jc w:val="both"/>
            </w:pPr>
            <w:r>
              <w:t>0.1710</w:t>
            </w:r>
          </w:p>
        </w:tc>
      </w:tr>
      <w:tr w:rsidR="009B73C2" w:rsidTr="00425214">
        <w:tc>
          <w:tcPr>
            <w:tcW w:w="1255" w:type="dxa"/>
          </w:tcPr>
          <w:p w:rsidR="009B73C2" w:rsidRDefault="009B73C2" w:rsidP="00A11CD9">
            <w:pPr>
              <w:jc w:val="both"/>
            </w:pPr>
            <w:r>
              <w:t>UNP</w:t>
            </w:r>
          </w:p>
        </w:tc>
        <w:tc>
          <w:tcPr>
            <w:tcW w:w="1260" w:type="dxa"/>
          </w:tcPr>
          <w:p w:rsidR="009B73C2" w:rsidRDefault="009B73C2" w:rsidP="00A11CD9">
            <w:pPr>
              <w:jc w:val="both"/>
            </w:pPr>
            <w:r>
              <w:t>0.1850</w:t>
            </w:r>
          </w:p>
        </w:tc>
      </w:tr>
    </w:tbl>
    <w:p w:rsidR="003A6CE4" w:rsidRDefault="003A6CE4" w:rsidP="00A11CD9">
      <w:pPr>
        <w:jc w:val="both"/>
      </w:pPr>
    </w:p>
    <w:p w:rsidR="00C344F0" w:rsidRPr="00BA2E8C" w:rsidRDefault="00C344F0" w:rsidP="00A11CD9">
      <w:pPr>
        <w:jc w:val="both"/>
      </w:pPr>
      <w:r>
        <w:t xml:space="preserve">This yields a gross return of </w:t>
      </w:r>
      <w:r w:rsidRPr="00C344F0">
        <w:rPr>
          <w:color w:val="FF0000"/>
        </w:rPr>
        <w:t>-2.89 %</w:t>
      </w:r>
      <w:r>
        <w:t xml:space="preserve">, while the S&amp;P500 benchmark has a return of </w:t>
      </w:r>
      <w:r w:rsidRPr="00C344F0">
        <w:rPr>
          <w:color w:val="FF0000"/>
        </w:rPr>
        <w:t>-6.58%</w:t>
      </w:r>
      <w:r w:rsidR="00BA2E8C">
        <w:t>. This is a positive indicator of the optimized mean-variance portfolio strategy.</w:t>
      </w:r>
    </w:p>
    <w:p w:rsidR="00C344F0" w:rsidRPr="00C344F0" w:rsidRDefault="00C344F0" w:rsidP="00A11CD9">
      <w:pPr>
        <w:jc w:val="both"/>
      </w:pPr>
    </w:p>
    <w:sectPr w:rsidR="00C344F0" w:rsidRPr="00C34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815"/>
    <w:rsid w:val="00026D65"/>
    <w:rsid w:val="000D6709"/>
    <w:rsid w:val="0015656D"/>
    <w:rsid w:val="00273060"/>
    <w:rsid w:val="002D48B8"/>
    <w:rsid w:val="00305815"/>
    <w:rsid w:val="00347994"/>
    <w:rsid w:val="00371246"/>
    <w:rsid w:val="003A6CE4"/>
    <w:rsid w:val="00425214"/>
    <w:rsid w:val="00464B67"/>
    <w:rsid w:val="005308CD"/>
    <w:rsid w:val="00615261"/>
    <w:rsid w:val="006A6FB3"/>
    <w:rsid w:val="006B263D"/>
    <w:rsid w:val="007355E9"/>
    <w:rsid w:val="00863F14"/>
    <w:rsid w:val="008F5615"/>
    <w:rsid w:val="009B73C2"/>
    <w:rsid w:val="00A11CD9"/>
    <w:rsid w:val="00B35F10"/>
    <w:rsid w:val="00B52892"/>
    <w:rsid w:val="00BA2E8C"/>
    <w:rsid w:val="00BB1B6D"/>
    <w:rsid w:val="00C344F0"/>
    <w:rsid w:val="00E52BB8"/>
    <w:rsid w:val="00E83C0D"/>
    <w:rsid w:val="00F0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37E6"/>
  <w15:chartTrackingRefBased/>
  <w15:docId w15:val="{35A982EC-9F5A-48B7-8148-369C7B9A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3C2"/>
    <w:pPr>
      <w:ind w:left="720"/>
      <w:contextualSpacing/>
    </w:pPr>
  </w:style>
  <w:style w:type="character" w:styleId="PlaceholderText">
    <w:name w:val="Placeholder Text"/>
    <w:basedOn w:val="DefaultParagraphFont"/>
    <w:uiPriority w:val="99"/>
    <w:semiHidden/>
    <w:rsid w:val="003479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Hsiao Liang</dc:creator>
  <cp:keywords/>
  <dc:description/>
  <cp:lastModifiedBy>Hsiao C Liang</cp:lastModifiedBy>
  <cp:revision>24</cp:revision>
  <dcterms:created xsi:type="dcterms:W3CDTF">2019-06-03T14:48:00Z</dcterms:created>
  <dcterms:modified xsi:type="dcterms:W3CDTF">2019-06-03T16:55:00Z</dcterms:modified>
</cp:coreProperties>
</file>