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Heading1"/>
      </w:pPr>
      <w:r>
        <w:t>GUV-CFD Simulation Report</w:t>
      </w:r>
    </w:p>
    <w:p>
      <w:r>
        <w:t>Illuminate room design file: C:\Users\hukcl\Documents\1work\222\Collaboration projects\South Africa\TB project\simulation files\patient ward 4B1 v4.guv</w:t>
      </w:r>
    </w:p>
    <w:p>
      <w:r>
        <w:t>CFD Project file: C:\Users\hukcl\Documents\1work\222\Collaboration projects\South Africa\TB project\simulation files\patientwardV6.guvcfd</w:t>
      </w:r>
    </w:p>
    <w:p>
      <w:r>
        <w:t>OpenFoam directory: //wsl.localhost/Ubuntu/tmp/decay_ach6_z7_uv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Simulation date</w:t>
            </w:r>
          </w:p>
        </w:tc>
        <w:tc>
          <w:tcPr>
            <w:tcW w:type="dxa" w:w="4680"/>
          </w:tcPr>
          <w:p>
            <w:r>
              <w:t>2026-07-23 18:34</w:t>
            </w:r>
          </w:p>
        </w:tc>
      </w:tr>
      <w:tr>
        <w:tc>
          <w:tcPr>
            <w:tcW w:type="dxa" w:w="4680"/>
          </w:tcPr>
          <w:p>
            <w:r>
              <w:t>Total elapsed time</w:t>
            </w:r>
          </w:p>
        </w:tc>
        <w:tc>
          <w:tcPr>
            <w:tcW w:type="dxa" w:w="4680"/>
          </w:tcPr>
          <w:p>
            <w:r>
              <w:t>15h 27m 32s</w:t>
            </w:r>
          </w:p>
        </w:tc>
      </w:tr>
      <w:tr>
        <w:tc>
          <w:tcPr>
            <w:tcW w:type="dxa" w:w="4680"/>
          </w:tcPr>
          <w:p>
            <w:r>
              <w:t>CPU</w:t>
            </w:r>
          </w:p>
        </w:tc>
        <w:tc>
          <w:tcPr>
            <w:tcW w:type="dxa" w:w="4680"/>
          </w:tcPr>
          <w:p>
            <w:r>
              <w:t>12th Gen Intel(R) Core(TM) i7-1255U</w:t>
            </w:r>
          </w:p>
        </w:tc>
      </w:tr>
      <w:tr>
        <w:tc>
          <w:tcPr>
            <w:tcW w:type="dxa" w:w="4680"/>
          </w:tcPr>
          <w:p>
            <w:r>
              <w:t>RAM</w:t>
            </w:r>
          </w:p>
        </w:tc>
        <w:tc>
          <w:tcPr>
            <w:tcW w:type="dxa" w:w="4680"/>
          </w:tcPr>
          <w:p>
            <w:r>
              <w:t>15.7 GB</w:t>
            </w:r>
          </w:p>
        </w:tc>
      </w:tr>
      <w:tr>
        <w:tc>
          <w:tcPr>
            <w:tcW w:type="dxa" w:w="4680"/>
          </w:tcPr>
          <w:p>
            <w:r>
              <w:t>GPU</w:t>
            </w:r>
          </w:p>
        </w:tc>
        <w:tc>
          <w:tcPr>
            <w:tcW w:type="dxa" w:w="4680"/>
          </w:tcPr>
          <w:p>
            <w:r>
              <w:t>Intel(R) Iris(R) Xe Graphics (not used - this simulation's OpenFOAM solve is CPU-only)</w:t>
            </w:r>
          </w:p>
        </w:tc>
      </w:tr>
    </w:tbl>
    <w:p>
      <w:pPr>
        <w:pStyle w:val="Heading2"/>
      </w:pPr>
      <w:r>
        <w:t>Room Setup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Room dimensions</w:t>
            </w:r>
          </w:p>
        </w:tc>
        <w:tc>
          <w:tcPr>
            <w:tcW w:type="dxa" w:w="4680"/>
          </w:tcPr>
          <w:p>
            <w:r>
              <w:t>3.2 x 4.8 x 2.57 meters</w:t>
            </w:r>
          </w:p>
        </w:tc>
      </w:tr>
      <w:tr>
        <w:tc>
          <w:tcPr>
            <w:tcW w:type="dxa" w:w="4680"/>
          </w:tcPr>
          <w:p>
            <w:r>
              <w:t>Lamps</w:t>
            </w:r>
          </w:p>
        </w:tc>
        <w:tc>
          <w:tcPr>
            <w:tcW w:type="dxa" w:w="4680"/>
          </w:tcPr>
          <w:p>
            <w:r>
              <w:t>4</w:t>
            </w:r>
          </w:p>
        </w:tc>
      </w:tr>
      <w:tr>
        <w:tc>
          <w:tcPr>
            <w:tcW w:type="dxa" w:w="4680"/>
          </w:tcPr>
          <w:p>
            <w:r>
              <w:t>Ventilation ACH</w:t>
            </w:r>
          </w:p>
        </w:tc>
        <w:tc>
          <w:tcPr>
            <w:tcW w:type="dxa" w:w="4680"/>
          </w:tcPr>
          <w:p>
            <w:r>
              <w:t>6 /hr</w:t>
            </w:r>
          </w:p>
        </w:tc>
      </w:tr>
      <w:tr>
        <w:tc>
          <w:tcPr>
            <w:tcW w:type="dxa" w:w="4680"/>
          </w:tcPr>
          <w:p>
            <w:r>
              <w:t>UV inactivation constant Z</w:t>
            </w:r>
          </w:p>
        </w:tc>
        <w:tc>
          <w:tcPr>
            <w:tcW w:type="dxa" w:w="4680"/>
          </w:tcPr>
          <w:p>
            <w:r>
              <w:t>7 cm²/mJ</w:t>
            </w:r>
          </w:p>
        </w:tc>
      </w:tr>
      <w:tr>
        <w:tc>
          <w:tcPr>
            <w:tcW w:type="dxa" w:w="4680"/>
          </w:tcPr>
          <w:p>
            <w:r>
              <w:t>Inlet</w:t>
            </w:r>
          </w:p>
        </w:tc>
        <w:tc>
          <w:tcPr>
            <w:tcW w:type="dxa" w:w="4680"/>
          </w:tcPr>
          <w:p>
            <w:r>
              <w:t>xMax, y=1.2m z=2.4m, size=0.6x0.3m</w:t>
            </w:r>
          </w:p>
        </w:tc>
      </w:tr>
      <w:tr>
        <w:tc>
          <w:tcPr>
            <w:tcW w:type="dxa" w:w="4680"/>
          </w:tcPr>
          <w:p>
            <w:r>
              <w:t>Outlet</w:t>
            </w:r>
          </w:p>
        </w:tc>
        <w:tc>
          <w:tcPr>
            <w:tcW w:type="dxa" w:w="4680"/>
          </w:tcPr>
          <w:p>
            <w:r>
              <w:t>xMax, y=1.2m z=1.3m, size=0.6x0.3m</w:t>
            </w:r>
          </w:p>
        </w:tc>
      </w:tr>
      <w:tr>
        <w:tc>
          <w:tcPr>
            <w:tcW w:type="dxa" w:w="4680"/>
          </w:tcPr>
          <w:p>
            <w:r>
              <w:t>Inlet 2</w:t>
            </w:r>
          </w:p>
        </w:tc>
        <w:tc>
          <w:tcPr>
            <w:tcW w:type="dxa" w:w="4680"/>
          </w:tcPr>
          <w:p>
            <w:r>
              <w:t>xMax, y=3.6m z=2.4m, size=0.6x0.3m</w:t>
            </w:r>
          </w:p>
        </w:tc>
      </w:tr>
      <w:tr>
        <w:tc>
          <w:tcPr>
            <w:tcW w:type="dxa" w:w="4680"/>
          </w:tcPr>
          <w:p>
            <w:r>
              <w:t>Outlet 2</w:t>
            </w:r>
          </w:p>
        </w:tc>
        <w:tc>
          <w:tcPr>
            <w:tcW w:type="dxa" w:w="4680"/>
          </w:tcPr>
          <w:p>
            <w:r>
              <w:t>xMax, y=3.6m z=1.3m, size=0.6x0.3m</w:t>
            </w:r>
          </w:p>
        </w:tc>
      </w:tr>
      <w:tr>
        <w:tc>
          <w:tcPr>
            <w:tcW w:type="dxa" w:w="4680"/>
          </w:tcPr>
          <w:p>
            <w:r>
              <w:t>Injection point</w:t>
            </w:r>
          </w:p>
        </w:tc>
        <w:tc>
          <w:tcPr>
            <w:tcW w:type="dxa" w:w="4680"/>
          </w:tcPr>
          <w:p>
            <w:r>
              <w:t>(0.4, 1.2, 1.3) m</w:t>
            </w:r>
          </w:p>
        </w:tc>
      </w:tr>
      <w:tr>
        <w:tc>
          <w:tcPr>
            <w:tcW w:type="dxa" w:w="4680"/>
          </w:tcPr>
          <w:p>
            <w:r>
              <w:t>Monitoring point: Patient</w:t>
            </w:r>
          </w:p>
        </w:tc>
        <w:tc>
          <w:tcPr>
            <w:tcW w:type="dxa" w:w="4680"/>
          </w:tcPr>
          <w:p>
            <w:r>
              <w:t>(0.45, 3.6, 1.2) m, box=2 cells/side</w:t>
            </w:r>
          </w:p>
        </w:tc>
      </w:tr>
      <w:tr>
        <w:tc>
          <w:tcPr>
            <w:tcW w:type="dxa" w:w="4680"/>
          </w:tcPr>
          <w:p>
            <w:r>
              <w:t>Monitoring point: exhaust</w:t>
            </w:r>
          </w:p>
        </w:tc>
        <w:tc>
          <w:tcPr>
            <w:tcW w:type="dxa" w:w="4680"/>
          </w:tcPr>
          <w:p>
            <w:r>
              <w:t>(3.2, 1.2, 1.4) m, box=3 cells/side</w:t>
            </w:r>
          </w:p>
        </w:tc>
      </w:tr>
    </w:tbl>
    <w:p>
      <w:pPr>
        <w:pStyle w:val="Heading2"/>
      </w:pPr>
      <w:r>
        <w:t>Case Setup</w:t>
      </w:r>
    </w:p>
    <w:p>
      <w:r>
        <w:drawing>
          <wp:inline xmlns:a="http://schemas.openxmlformats.org/drawingml/2006/main" xmlns:pic="http://schemas.openxmlformats.org/drawingml/2006/picture">
            <wp:extent cx="5486400" cy="3962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vie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6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Convergence &amp; Trust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Flow field</w:t>
            </w:r>
          </w:p>
        </w:tc>
        <w:tc>
          <w:tcPr>
            <w:tcW w:type="dxa" w:w="4680"/>
          </w:tcPr>
          <w:p>
            <w:r>
              <w:t>Not available (older run, or flow convergence was skipped)</w:t>
            </w:r>
          </w:p>
        </w:tc>
      </w:tr>
      <w:tr>
        <w:tc>
          <w:tcPr>
            <w:tcW w:type="dxa" w:w="4680"/>
          </w:tcPr>
          <w:p>
            <w:r>
              <w:t>Ventilation delivery</w:t>
            </w:r>
          </w:p>
        </w:tc>
        <w:tc>
          <w:tcPr>
            <w:tcW w:type="dxa" w:w="4680"/>
          </w:tcPr>
          <w:p>
            <w:r>
              <w:t>5.93/hr measured vs 6/hr nominal (99%) - OK</w:t>
            </w:r>
          </w:p>
        </w:tc>
      </w:tr>
    </w:tbl>
    <w:p w14:paraId="03489BF8" w14:textId="77777777" w:rsidR="00BB2F3E" w:rsidRDefault="00BB2F3E" w:rsidP="00BB2F3E">
      <w:pPr>
        <w:pStyle w:val="Heading2"/>
      </w:pPr>
      <w:r>
        <w:t>Results</w:t>
      </w:r>
    </w:p>
    <w:p w14:paraId="1394394F" w14:textId="77777777" w:rsidR="00BB2F3E" w:rsidRDefault="00BB2F3E" w:rsidP="00BB2F3E">
      <w:r>
        <w:rPr>
          <w:i/>
        </w:rPr>
        <w:t>Note: T is the OpenFOAM field name for the transported scalar this whole simulation tracks - the substance being reduced, per unit volume. In a GUV disinfection context this is typically a pathogen concentration, e.g. CFU/m³ (colony-forming units per cubic meter) or an equivalent airborne-contaminant unit; the CFD itself is unit-agnostic and just tracks relative concentration.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5300"/>
        <w:gridCol w:w="3340"/>
      </w:tblGrid>
      <w:tr w:rsidR="00BB2F3E" w14:paraId="5F9399D0" w14:textId="77777777" w:rsidTr="00E5496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0" w:type="dxa"/>
            <w:gridSpan w:val="2"/>
          </w:tcPr>
          <w:p w14:paraId="3A300744" w14:textId="65A59855" w:rsidR="00BB2F3E" w:rsidRDefault="00BB2F3E" w:rsidP="00BB2F3E">
            <w:pPr>
              <w:pStyle w:val="Heading3"/>
            </w:pPr>
            <w:r>
              <w:t xml:space="preserve">Room Settings </w:t>
            </w:r>
          </w:p>
        </w:tc>
      </w:tr>
      <w:tr w:rsidR="00BB2F3E" w14:paraId="4359E538" w14:textId="77777777" w:rsidTr="006719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00" w:type="dxa"/>
          </w:tcPr>
          <w:p w14:paraId="386758BB" w14:textId="77777777" w:rsidR="00BB2F3E" w:rsidRDefault="00BB2F3E" w:rsidP="00A67A27">
            <w:r>
              <w:t>Average fluence rate</w:t>
            </w:r>
          </w:p>
        </w:tc>
        <w:tc>
          <w:tcPr>
            <w:tcW w:w="3340" w:type="dxa"/>
          </w:tcPr>
          <w:p w14:paraId="6FC3BDEB" w14:textId="77777777" w:rsidR="00BB2F3E" w:rsidRDefault="00BB2F3E" w:rsidP="00A67A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2.869 µW/cm²</w:t>
            </w:r>
          </w:p>
        </w:tc>
      </w:tr>
      <w:tr w:rsidR="006719A9" w14:paraId="73C50EDF" w14:textId="77777777" w:rsidTr="006719A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00" w:type="dxa"/>
          </w:tcPr>
          <w:p w14:paraId="57768362" w14:textId="76C5A239" w:rsidR="006719A9" w:rsidRDefault="006719A9" w:rsidP="00A67A27">
            <w:r>
              <w:t>Susceptibility constant Z (cm² / mJ)</w:t>
            </w:r>
          </w:p>
        </w:tc>
        <w:tc>
          <w:tcPr>
            <w:tcW w:w="3340" w:type="dxa"/>
          </w:tcPr>
          <w:p w14:paraId="789B2AC7" w14:textId="02E9DC9C" w:rsidR="006719A9" w:rsidRDefault="006719A9" w:rsidP="00A67A2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7.0</w:t>
            </w:r>
          </w:p>
        </w:tc>
      </w:tr>
      <w:tr w:rsidR="00BB2F3E" w14:paraId="164C4CF0" w14:textId="77777777" w:rsidTr="006719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00" w:type="dxa"/>
          </w:tcPr>
          <w:p w14:paraId="6ABB7121" w14:textId="110260E9" w:rsidR="00BB2F3E" w:rsidRDefault="00AE4686" w:rsidP="00A67A27">
            <w:r>
              <w:t>Set</w:t>
            </w:r>
            <w:r w:rsidR="00BB2F3E">
              <w:t xml:space="preserve"> well-mixed steady-state T</w:t>
            </w:r>
            <w:r>
              <w:t xml:space="preserve"> (entire volume)</w:t>
            </w:r>
          </w:p>
        </w:tc>
        <w:tc>
          <w:tcPr>
            <w:tcW w:w="3340" w:type="dxa"/>
          </w:tcPr>
          <w:p w14:paraId="33EFEC62" w14:textId="77777777" w:rsidR="00BB2F3E" w:rsidRDefault="00BB2F3E" w:rsidP="00A67A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</w:tr>
      <w:tr w:rsidR="00E840C7" w14:paraId="222664B1" w14:textId="77777777" w:rsidTr="006719A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00" w:type="dxa"/>
          </w:tcPr>
          <w:p w14:paraId="1196EBD3" w14:textId="064863BE" w:rsidR="00E840C7" w:rsidRDefault="00E840C7" w:rsidP="00E840C7">
            <w:r>
              <w:t>Calculated eACH</w:t>
            </w:r>
            <w:r w:rsidR="00CA3B2B">
              <w:rPr>
                <w:rStyle w:val="FootnoteReference"/>
              </w:rPr>
              <w:footnoteReference w:id="1"/>
            </w:r>
          </w:p>
        </w:tc>
        <w:tc>
          <w:tcPr>
            <w:tcW w:w="3340" w:type="dxa"/>
          </w:tcPr>
          <w:p w14:paraId="65E1CA9A" w14:textId="58AC98A1" w:rsidR="00E840C7" w:rsidRDefault="00E840C7" w:rsidP="00E840C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72.31 /hr</w:t>
            </w:r>
          </w:p>
        </w:tc>
      </w:tr>
      <w:tr w:rsidR="00E840C7" w14:paraId="732FC72C" w14:textId="77777777" w:rsidTr="00DA07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0" w:type="dxa"/>
            <w:gridSpan w:val="2"/>
          </w:tcPr>
          <w:p w14:paraId="69D0328A" w14:textId="4C1D9812" w:rsidR="00E840C7" w:rsidRDefault="00AE4686" w:rsidP="00E840C7">
            <w:pPr>
              <w:pStyle w:val="Heading3"/>
            </w:pPr>
            <w:r>
              <w:t>Results from Decay mode analysis</w:t>
            </w:r>
            <w:r w:rsidR="00E840C7" w:rsidRPr="00BB2F3E">
              <w:rPr>
                <w:rStyle w:val="Heading4Char"/>
                <w:sz w:val="22"/>
                <w:szCs w:val="22"/>
              </w:rPr>
              <w:t xml:space="preserve"> </w:t>
            </w:r>
          </w:p>
        </w:tc>
      </w:tr>
      <w:tr w:rsidR="00E840C7" w14:paraId="0581AFBB" w14:textId="77777777" w:rsidTr="006719A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00" w:type="dxa"/>
          </w:tcPr>
          <w:p w14:paraId="19FD97DB" w14:textId="629F18EC" w:rsidR="00E840C7" w:rsidRDefault="00AE4686" w:rsidP="00E840C7">
            <w:r>
              <w:t xml:space="preserve">ACH </w:t>
            </w:r>
            <w:r w:rsidR="006C608B">
              <w:t xml:space="preserve">(air) </w:t>
            </w:r>
            <w:r>
              <w:t>measured</w:t>
            </w:r>
            <w:r>
              <w:rPr>
                <w:rStyle w:val="FootnoteReference"/>
              </w:rPr>
              <w:footnoteReference w:id="2"/>
            </w:r>
          </w:p>
        </w:tc>
        <w:tc>
          <w:tcPr>
            <w:tcW w:w="3340" w:type="dxa"/>
          </w:tcPr>
          <w:p w14:paraId="30B75D43" w14:textId="679C19B7" w:rsidR="00E840C7" w:rsidRDefault="00AE4686" w:rsidP="00E840C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5.932 /hr</w:t>
            </w:r>
            <w:r w:rsidR="004F605F"/>
          </w:p>
        </w:tc>
      </w:tr>
      <w:tr w:rsidR="00E840C7" w14:paraId="160E3465" w14:textId="77777777" w:rsidTr="006719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00" w:type="dxa"/>
          </w:tcPr>
          <w:p w14:paraId="5B3F4AFC" w14:textId="63B83CBE" w:rsidR="00E840C7" w:rsidRPr="00AE4686" w:rsidRDefault="00AE4686" w:rsidP="00E840C7">
            <w:r>
              <w:t>Effective ACH</w:t>
            </w:r>
            <w:r>
              <w:rPr>
                <w:vertAlign w:val="subscript"/>
              </w:rPr>
              <w:t>eff</w:t>
            </w:r>
            <w:r>
              <w:t xml:space="preserve"> </w:t>
            </w:r>
            <w:r w:rsidR="006D4864">
              <w:t xml:space="preserve">CFD </w:t>
            </w:r>
            <w:r>
              <w:t>measured</w:t>
            </w:r>
            <w:r>
              <w:rPr>
                <w:rStyle w:val="FootnoteReference"/>
              </w:rPr>
              <w:footnoteReference w:id="3"/>
            </w:r>
          </w:p>
        </w:tc>
        <w:tc>
          <w:tcPr>
            <w:tcW w:w="3340" w:type="dxa"/>
          </w:tcPr>
          <w:p w14:paraId="262C8C47" w14:textId="184C8BD5" w:rsidR="00E840C7" w:rsidRDefault="004F605F" w:rsidP="00E840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4.197 /hr (95% CI: 4.194–4.199 /hr)</w:t>
            </w:r>
          </w:p>
        </w:tc>
      </w:tr>
      <w:tr w:rsidR="004F605F" w14:paraId="7CB1C23B" w14:textId="77777777" w:rsidTr="006719A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00" w:type="dxa"/>
          </w:tcPr>
          <w:p w14:paraId="21894021" w14:textId="7CA45F23" w:rsidR="004F605F" w:rsidRDefault="004F605F" w:rsidP="00E840C7">
            <w:r>
              <w:t>ACH efficiency</w:t>
            </w:r>
            <w:r w:rsidR="006D4864">
              <w:rPr>
                <w:rStyle w:val="FootnoteReference"/>
              </w:rPr>
              <w:footnoteReference w:id="4"/>
            </w:r>
          </w:p>
        </w:tc>
        <w:tc>
          <w:tcPr>
            <w:tcW w:w="3340" w:type="dxa"/>
          </w:tcPr>
          <w:p w14:paraId="296E0490" w14:textId="0415FD64" w:rsidR="004F605F" w:rsidRDefault="004F605F" w:rsidP="00E840C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70.7%</w:t>
            </w:r>
          </w:p>
        </w:tc>
      </w:tr>
      <w:tr w:rsidR="00E840C7" w14:paraId="0BD9D6FE" w14:textId="77777777" w:rsidTr="006719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00" w:type="dxa"/>
          </w:tcPr>
          <w:p w14:paraId="39FCCDCD" w14:textId="1C26EF69" w:rsidR="00E840C7" w:rsidRDefault="004F605F" w:rsidP="00E840C7">
            <w:r>
              <w:t>eACH</w:t>
            </w:r>
            <w:r>
              <w:rPr>
                <w:vertAlign w:val="subscript"/>
              </w:rPr>
              <w:t>eff</w:t>
            </w:r>
            <w:r>
              <w:t xml:space="preserve"> </w:t>
            </w:r>
            <w:r w:rsidR="006D4864">
              <w:t xml:space="preserve">CFD </w:t>
            </w:r>
            <w:r>
              <w:t xml:space="preserve">measured </w:t>
            </w:r>
            <w:r>
              <w:rPr>
                <w:rStyle w:val="FootnoteReference"/>
              </w:rPr>
              <w:footnoteReference w:id="5"/>
            </w:r>
          </w:p>
        </w:tc>
        <w:tc>
          <w:tcPr>
            <w:tcW w:w="3340" w:type="dxa"/>
          </w:tcPr>
          <w:p w14:paraId="326FF369" w14:textId="01DE3C00" w:rsidR="00E840C7" w:rsidRDefault="004F605F" w:rsidP="00E840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34.48 /hr (95% CI: 34.42–34.53 /hr)</w:t>
            </w:r>
          </w:p>
        </w:tc>
      </w:tr>
      <w:tr w:rsidR="006D4864" w14:paraId="53CD776E" w14:textId="77777777" w:rsidTr="006D486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00" w:type="dxa"/>
          </w:tcPr>
          <w:p w14:paraId="4F3FD17D" w14:textId="77777777" w:rsidR="006D4864" w:rsidRPr="006D4864" w:rsidRDefault="006D4864" w:rsidP="00E840C7">
            <w:pPr>
              <w:rPr>
                <w:b w:val="0"/>
                <w:bCs w:val="0"/>
              </w:rPr>
            </w:pPr>
            <w:r>
              <w:t>Total Room ACH</w:t>
            </w:r>
            <w:r>
              <w:rPr>
                <w:vertAlign w:val="subscript"/>
              </w:rPr>
              <w:t>eff</w:t>
            </w:r>
            <w:r>
              <w:t>+eACH</w:t>
            </w:r>
            <w:r>
              <w:rPr>
                <w:vertAlign w:val="subscript"/>
              </w:rPr>
              <w:t>eff</w:t>
            </w:r>
          </w:p>
        </w:tc>
        <w:tc>
          <w:tcPr>
            <w:tcW w:w="3340" w:type="dxa"/>
          </w:tcPr>
          <w:p w14:paraId="6FBA2940" w14:textId="7C42912D" w:rsidR="006D4864" w:rsidRPr="006D4864" w:rsidRDefault="006D4864" w:rsidP="00E840C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38.67 /hr</w:t>
            </w:r>
          </w:p>
        </w:tc>
      </w:tr>
      <w:tr w:rsidR="00E840C7" w14:paraId="78EED818" w14:textId="77777777" w:rsidTr="00D60D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0" w:type="dxa"/>
            <w:gridSpan w:val="2"/>
          </w:tcPr>
          <w:p w14:paraId="44AB4124" w14:textId="35B2026E" w:rsidR="00E840C7" w:rsidRDefault="00E840C7" w:rsidP="00E840C7">
            <w:pPr>
              <w:pStyle w:val="Heading3"/>
            </w:pPr>
            <w:r>
              <w:t>Analysis of simulations</w:t>
            </w:r>
          </w:p>
        </w:tc>
      </w:tr>
      <w:tr w:rsidR="00E840C7" w14:paraId="7167CF87" w14:textId="77777777" w:rsidTr="006719A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00" w:type="dxa"/>
          </w:tcPr>
          <w:p w14:paraId="21645A1D" w14:textId="27A01E9E" w:rsidR="00E840C7" w:rsidRDefault="00E840C7" w:rsidP="00E840C7">
            <w:r>
              <w:t xml:space="preserve">Total </w:t>
            </w:r>
            <w:r w:rsidR="00307E70">
              <w:t xml:space="preserve">average </w:t>
            </w:r>
            <w:r>
              <w:t>Pathogen reduction in room</w:t>
            </w:r>
            <w:r w:rsidR="009F2987">
              <w:t xml:space="preserve"> per hour</w:t>
            </w:r>
            <w:r>
              <w:t xml:space="preserve"> </w:t>
            </w:r>
            <w:r>
              <w:rPr>
                <w:rStyle w:val="FootnoteReference"/>
              </w:rPr>
              <w:footnoteReference w:id="6"/>
            </w:r>
          </w:p>
        </w:tc>
        <w:tc>
          <w:tcPr>
            <w:tcW w:w="3340" w:type="dxa"/>
          </w:tcPr>
          <w:p w14:paraId="21E1E055" w14:textId="1DA7C7B4" w:rsidR="00E840C7" w:rsidRDefault="00E840C7" w:rsidP="00E840C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89.1%</w:t>
            </w:r>
          </w:p>
        </w:tc>
      </w:tr>
      <w:tr w:rsidR="00CA3B2B" w14:paraId="116FA571" w14:textId="77777777" w:rsidTr="006719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00" w:type="dxa"/>
          </w:tcPr>
          <w:p w14:paraId="684AF1D1" w14:textId="57854E39" w:rsidR="00CA3B2B" w:rsidRPr="00B32845" w:rsidRDefault="00CA3B2B" w:rsidP="00E840C7">
            <w:pPr>
              <w:rPr>
                <w:vertAlign w:val="subscript"/>
              </w:rPr>
            </w:pPr>
            <w:r>
              <w:t xml:space="preserve">Room </w:t>
            </w:r>
            <w:r w:rsidR="00E26556">
              <w:t xml:space="preserve">pathogen removal </w:t>
            </w:r>
            <w:r>
              <w:t>efficacy</w:t>
            </w:r>
            <w:r>
              <w:rPr>
                <w:rStyle w:val="FootnoteReference"/>
              </w:rPr>
              <w:footnoteReference w:id="7"/>
            </w:r>
            <w:r w:rsidR="00B32845">
              <w:t xml:space="preserve"> </w:t>
            </w:r>
          </w:p>
        </w:tc>
        <w:tc>
          <w:tcPr>
            <w:tcW w:w="3340" w:type="dxa"/>
          </w:tcPr>
          <w:p w14:paraId="1E2BCD4C" w14:textId="00488248" w:rsidR="00CA3B2B" w:rsidRDefault="00CA3B2B" w:rsidP="00E840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49.4%</w:t>
            </w:r>
          </w:p>
        </w:tc>
      </w:tr>
      <w:tr w:rsidR="00E26556" w14:paraId="7FF6A5B9" w14:textId="77777777" w:rsidTr="00840B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0" w:type="dxa"/>
            <w:gridSpan w:val="2"/>
          </w:tcPr>
          <w:p w14:paraId="55E65278" w14:textId="25EC8C3E" w:rsidR="00E26556" w:rsidRDefault="00585543" w:rsidP="00A00318">
            <w:pPr>
              <w:pStyle w:val="Heading3"/>
            </w:pPr>
            <w:r>
              <w:lastRenderedPageBreak/>
              <w:t xml:space="preserve">UV </w:t>
            </w:r>
            <w:r w:rsidR="00E26556">
              <w:t xml:space="preserve">Germicidal </w:t>
            </w:r>
            <w:r w:rsidR="00A00318">
              <w:t>Effectiveness</w:t>
            </w:r>
            <w:r w:rsidR="00A00318">
              <w:rPr>
                <w:rStyle w:val="FootnoteReference"/>
              </w:rPr>
              <w:footnoteReference w:id="8"/>
            </w:r>
          </w:p>
        </w:tc>
      </w:tr>
      <w:tr w:rsidR="00E26556" w14:paraId="465BA750" w14:textId="77777777" w:rsidTr="006719A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00" w:type="dxa"/>
          </w:tcPr>
          <w:p w14:paraId="341A218B" w14:textId="4C54FA19" w:rsidR="00E26556" w:rsidRDefault="00585543" w:rsidP="00E840C7">
            <w:r>
              <w:t>True UVGI Effectiveness</w:t>
            </w:r>
          </w:p>
        </w:tc>
        <w:tc>
          <w:tcPr>
            <w:tcW w:w="3340" w:type="dxa"/>
          </w:tcPr>
          <w:p w14:paraId="6985A018" w14:textId="5FDB583B" w:rsidR="00E26556" w:rsidRDefault="00585543" w:rsidP="00E840C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89.1%</w:t>
            </w:r>
          </w:p>
        </w:tc>
      </w:tr>
    </w:tbl>
    <w:p w14:paraId="33435662" w14:textId="477B4BDD" w:rsidR="00242564" w:rsidRDefault="00242564" w:rsidP="00E26556"/>
    <w:p w14:paraId="12C52C1F" w14:textId="77777777" w:rsidR="00EA41B4" w:rsidRDefault="00EA41B4" w:rsidP="00EA41B4">
      <w:pPr>
        <w:pStyle w:val="Heading2"/>
      </w:pPr>
      <w:r>
        <w:t>Monitoring Results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671"/>
        <w:gridCol w:w="4669"/>
      </w:tblGrid>
      <w:tr w:rsidR="00EA41B4" w14:paraId="3459482C" w14:textId="77777777" w:rsidTr="00DF4E8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313A50B1" w14:textId="1C2D510B" w:rsidR="00EA41B4" w:rsidRDefault="00EA41B4" w:rsidP="00DF4E8F">
            <w:r>
              <w:t>Patient</w:t>
            </w:r>
            <w:r>
              <w:t xml:space="preserve"> pathogen reduction</w:t>
            </w:r>
            <w:r>
              <w:rPr>
                <w:rStyle w:val="FootnoteReference"/>
              </w:rPr>
              <w:footnoteReference w:id="9"/>
            </w:r>
          </w:p>
        </w:tc>
        <w:tc>
          <w:tcPr>
            <w:tcW w:w="4680" w:type="dxa"/>
          </w:tcPr>
          <w:p w14:paraId="25366F51" w14:textId="11F899FE" w:rsidR="00EA41B4" w:rsidRDefault="00EA41B4" w:rsidP="00DF4E8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89.2% (T/Tavg=0.25, CV=22.8%)</w:t>
            </w:r>
          </w:p>
        </w:tc>
      </w:tr>
      <w:tr w:rsidR="00EA41B4" w14:paraId="167B1708" w14:textId="77777777" w:rsidTr="00DF4E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6032A057" w14:textId="2BEEFCD2" w:rsidR="00EA41B4" w:rsidRDefault="00EA41B4" w:rsidP="00DF4E8F">
            <w:r>
              <w:t>E</w:t>
            </w:r>
            <w:r>
              <w:t>xhaust</w:t>
            </w:r>
            <w:r>
              <w:t xml:space="preserve"> pathogen reduction</w:t>
            </w:r>
          </w:p>
        </w:tc>
        <w:tc>
          <w:tcPr>
            <w:tcW w:w="4680" w:type="dxa"/>
          </w:tcPr>
          <w:p w14:paraId="113E1A13" w14:textId="49F6CD43" w:rsidR="00EA41B4" w:rsidRDefault="00EA41B4" w:rsidP="00DF4E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89.1% (T/Tavg=1.12, CV=23.1%)</w:t>
            </w:r>
          </w:p>
        </w:tc>
      </w:tr>
    </w:tbl>
    <w:p w14:paraId="0B2F565E" w14:textId="77777777" w:rsidR="00EA41B4" w:rsidRDefault="00EA41B4" w:rsidP="00EA41B4">
      <w:r>
        <w:rPr>
          <w:i/>
        </w:rPr>
        <w:t>Note: the room is NOT well mixed - 'Patient' is 86% below the room average (Phase 1); 'exhaust' is 102% above the room average (Phase 1); 'Patient' is 100% below the room average (Phase 2); 'exhaust' is 20% above the room average (Phase 2). Room-average volAverage(T) should not be read as representative of concentration at any specific location; use the monitoring-location values for occupant-specific exposure estimates instead.</w:t>
      </w:r>
    </w:p>
    <w:p w14:paraId="72ADDB5B" w14:textId="77777777" w:rsidR="00EA41B4" w:rsidRDefault="00EA41B4" w:rsidP="00E26556"/>
    <w:p>
      <w:r>
        <w:drawing>
          <wp:inline xmlns:a="http://schemas.openxmlformats.org/drawingml/2006/main" xmlns:pic="http://schemas.openxmlformats.org/drawingml/2006/picture">
            <wp:extent cx="5486400" cy="3048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urv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Note: the effective/measured ventilation ACH above is not the airflow rate delivered by the inlet - that's fixed at the nominal design ACH by the boundary condition. It's the well-mixed-equivalent rate implied by Phase 1's room-average steady-state concentration, and reads lower than nominal when the room mixes imperfectly (e.g. inlet/outlet short-circuiting on the same wall).</w:t>
      </w:r>
    </w:p>
    <w:sectPr w:rsidR="00EA41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0E69E0" w14:textId="77777777" w:rsidR="007203A4" w:rsidRDefault="007203A4" w:rsidP="00BB2F3E">
      <w:pPr>
        <w:spacing w:after="0" w:line="240" w:lineRule="auto"/>
      </w:pPr>
      <w:r>
        <w:separator/>
      </w:r>
    </w:p>
  </w:endnote>
  <w:endnote w:type="continuationSeparator" w:id="0">
    <w:p w14:paraId="5ACCB7A6" w14:textId="77777777" w:rsidR="007203A4" w:rsidRDefault="007203A4" w:rsidP="00BB2F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C244E6" w14:textId="77777777" w:rsidR="007203A4" w:rsidRDefault="007203A4" w:rsidP="00BB2F3E">
      <w:pPr>
        <w:spacing w:after="0" w:line="240" w:lineRule="auto"/>
      </w:pPr>
      <w:r>
        <w:separator/>
      </w:r>
    </w:p>
  </w:footnote>
  <w:footnote w:type="continuationSeparator" w:id="0">
    <w:p w14:paraId="7F83F714" w14:textId="77777777" w:rsidR="007203A4" w:rsidRDefault="007203A4" w:rsidP="00BB2F3E">
      <w:pPr>
        <w:spacing w:after="0" w:line="240" w:lineRule="auto"/>
      </w:pPr>
      <w:r>
        <w:continuationSeparator/>
      </w:r>
    </w:p>
  </w:footnote>
  <w:footnote w:id="1">
    <w:p w14:paraId="1EEEA11F" w14:textId="06517902" w:rsidR="00CA3B2B" w:rsidRDefault="00CA3B2B">
      <w:pPr>
        <w:pStyle w:val="FootnoteText"/>
      </w:pPr>
      <w:r>
        <w:rPr>
          <w:rStyle w:val="FootnoteReference"/>
        </w:rPr>
        <w:footnoteRef/>
      </w:r>
      <w:r>
        <w:t xml:space="preserve"> Assuming </w:t>
      </w:r>
      <w:r w:rsidRPr="004F605F">
        <w:rPr>
          <w:b/>
          <w:bCs/>
        </w:rPr>
        <w:t>well mixed</w:t>
      </w:r>
      <w:r>
        <w:t xml:space="preserve"> condition eACH = Z*Eavg</w:t>
      </w:r>
    </w:p>
  </w:footnote>
  <w:footnote w:id="2">
    <w:p w14:paraId="4CAE4FB4" w14:textId="5FCB9B02" w:rsidR="00AE4686" w:rsidRDefault="00AE4686">
      <w:pPr>
        <w:pStyle w:val="FootnoteText"/>
      </w:pPr>
      <w:r>
        <w:rPr>
          <w:rStyle w:val="FootnoteReference"/>
        </w:rPr>
        <w:footnoteRef/>
      </w:r>
      <w:r>
        <w:t xml:space="preserve"> Mass balance -air in vs. air out – is an indication of how good the model settled</w:t>
      </w:r>
    </w:p>
  </w:footnote>
  <w:footnote w:id="3">
    <w:p w14:paraId="5C318918" w14:textId="3BCE83D5" w:rsidR="00AE4686" w:rsidRDefault="00AE4686">
      <w:pPr>
        <w:pStyle w:val="FootnoteText"/>
      </w:pPr>
      <w:r>
        <w:rPr>
          <w:rStyle w:val="FootnoteReference"/>
        </w:rPr>
        <w:footnoteRef/>
      </w:r>
      <w:r>
        <w:t xml:space="preserve"> This measures the actual T removal by air, in not well mixed conditions will be different to</w:t>
      </w:r>
      <w:r w:rsidR="006D4864">
        <w:t xml:space="preserve"> (lower) that nominal ACH. </w:t>
      </w:r>
    </w:p>
  </w:footnote>
  <w:footnote w:id="4">
    <w:p w14:paraId="48E2BCF9" w14:textId="78746FF6" w:rsidR="006D4864" w:rsidRDefault="006D4864">
      <w:pPr>
        <w:pStyle w:val="FootnoteText"/>
      </w:pPr>
      <w:r>
        <w:rPr>
          <w:rStyle w:val="FootnoteReference"/>
        </w:rPr>
        <w:footnoteRef/>
      </w:r>
      <w:r>
        <w:t xml:space="preserve"> Gives an indication how well the air is mixed</w:t>
      </w:r>
    </w:p>
  </w:footnote>
  <w:footnote w:id="5">
    <w:p w14:paraId="2FC862B9" w14:textId="2BF42EF3" w:rsidR="004F605F" w:rsidRDefault="004F605F">
      <w:pPr>
        <w:pStyle w:val="FootnoteText"/>
      </w:pPr>
      <w:r>
        <w:rPr>
          <w:rStyle w:val="FootnoteReference"/>
        </w:rPr>
        <w:footnoteRef/>
      </w:r>
      <w:r>
        <w:t xml:space="preserve"> The actual eACH value from the CFD run</w:t>
      </w:r>
    </w:p>
  </w:footnote>
  <w:footnote w:id="6">
    <w:p w14:paraId="4A5AFDAE" w14:textId="163555E8" w:rsidR="00E840C7" w:rsidRDefault="00E840C7">
      <w:pPr>
        <w:pStyle w:val="FootnoteText"/>
      </w:pPr>
      <w:r>
        <w:rPr>
          <w:rStyle w:val="FootnoteReference"/>
        </w:rPr>
        <w:footnoteRef/>
      </w:r>
      <w:r>
        <w:t xml:space="preserve"> Based on </w:t>
      </w:r>
      <w:r w:rsidR="004F605F">
        <w:t>steady state calculation taking eACH</w:t>
      </w:r>
      <w:r w:rsidR="004F605F">
        <w:rPr>
          <w:vertAlign w:val="subscript"/>
        </w:rPr>
        <w:t>eff</w:t>
      </w:r>
      <w:r>
        <w:t xml:space="preserve"> </w:t>
      </w:r>
      <w:r w:rsidR="004F605F">
        <w:t>and ACH</w:t>
      </w:r>
      <w:r w:rsidR="004F605F">
        <w:rPr>
          <w:vertAlign w:val="subscript"/>
        </w:rPr>
        <w:t>eff</w:t>
      </w:r>
      <w:r w:rsidR="004F605F">
        <w:t xml:space="preserve"> into account</w:t>
      </w:r>
      <w:r>
        <w:t xml:space="preserve"> </w:t>
      </w:r>
    </w:p>
  </w:footnote>
  <w:footnote w:id="7">
    <w:p w14:paraId="798219E1" w14:textId="731F9444" w:rsidR="00CA3B2B" w:rsidRPr="006C608B" w:rsidRDefault="00CA3B2B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="00307E70">
        <w:t xml:space="preserve">= </w:t>
      </w:r>
      <w:r w:rsidR="006C608B">
        <w:t>(</w:t>
      </w:r>
      <w:r w:rsidR="00307E70">
        <w:t>ACH</w:t>
      </w:r>
      <w:r w:rsidR="00307E70">
        <w:rPr>
          <w:vertAlign w:val="subscript"/>
        </w:rPr>
        <w:t>eff</w:t>
      </w:r>
      <w:r w:rsidR="006C608B">
        <w:t xml:space="preserve"> + e</w:t>
      </w:r>
      <w:r w:rsidR="00307E70">
        <w:t>ACH</w:t>
      </w:r>
      <w:r w:rsidR="006C608B">
        <w:rPr>
          <w:vertAlign w:val="subscript"/>
        </w:rPr>
        <w:t xml:space="preserve">eff </w:t>
      </w:r>
      <w:r w:rsidR="006C608B">
        <w:t>) / (</w:t>
      </w:r>
      <w:r w:rsidR="006C608B" w:rsidRPr="006C608B">
        <w:t xml:space="preserve"> </w:t>
      </w:r>
      <w:r w:rsidR="006C608B">
        <w:t>ACH + eACH</w:t>
      </w:r>
      <w:r w:rsidR="006C608B">
        <w:t>) – shows the real efficiency of the setup (CFD) vs. nominal values of ACH and eACH</w:t>
      </w:r>
    </w:p>
  </w:footnote>
  <w:footnote w:id="8">
    <w:p w14:paraId="0021CD03" w14:textId="0F0FF668" w:rsidR="00A00318" w:rsidRPr="00A00318" w:rsidRDefault="00A00318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="00585543">
        <w:t xml:space="preserve">This is a value showing the effectiveness of UV over mechanical ventilation alone. </w:t>
      </w:r>
      <w:r>
        <w:t>See “</w:t>
      </w:r>
      <w:r w:rsidRPr="00A00318">
        <w:t xml:space="preserve">Miller, Shelly L. / MacHer, Janet M.; Evaluation of a Methodology for Quantifying the Effect of Room Air Ultraviolet Germicidal Irradiation on Airborne Bacteria; 2000-09; </w:t>
      </w:r>
      <w:r w:rsidRPr="00A00318">
        <w:rPr>
          <w:i/>
          <w:iCs/>
        </w:rPr>
        <w:t>Aerosol Science and Technology</w:t>
      </w:r>
      <w:r w:rsidRPr="00A00318">
        <w:t> , Vol. 33, No. 3</w:t>
      </w:r>
      <w:r w:rsidRPr="00A00318">
        <w:br/>
        <w:t>Taylor &amp; Francis; p. 283</w:t>
      </w:r>
      <w:r>
        <w:t xml:space="preserve">” </w:t>
      </w:r>
      <w:r w:rsidR="00585543">
        <w:t xml:space="preserve">; </w:t>
      </w:r>
      <w:r>
        <w:t>E= 1- (T</w:t>
      </w:r>
      <w:r>
        <w:rPr>
          <w:vertAlign w:val="subscript"/>
        </w:rPr>
        <w:t>SS2</w:t>
      </w:r>
      <w:r>
        <w:t>/T</w:t>
      </w:r>
      <w:r>
        <w:rPr>
          <w:vertAlign w:val="subscript"/>
        </w:rPr>
        <w:t>SS1</w:t>
      </w:r>
      <w:r>
        <w:t>-T</w:t>
      </w:r>
      <w:r>
        <w:rPr>
          <w:vertAlign w:val="subscript"/>
        </w:rPr>
        <w:t>SS2</w:t>
      </w:r>
      <w:r>
        <w:t>) or E= 1-(eACH/(ACH</w:t>
      </w:r>
      <w:r w:rsidR="00585543">
        <w:rPr>
          <w:vertAlign w:val="subscript"/>
        </w:rPr>
        <w:t>eff</w:t>
      </w:r>
      <w:r>
        <w:t>+eACH)</w:t>
      </w:r>
    </w:p>
  </w:footnote>
  <w:footnote w:id="9">
    <w:p w14:paraId="118AD456" w14:textId="6F875658" w:rsidR="00EA41B4" w:rsidRDefault="00EA41B4">
      <w:pPr>
        <w:pStyle w:val="FootnoteText"/>
      </w:pPr>
      <w:r>
        <w:rPr>
          <w:rStyle w:val="FootnoteReference"/>
        </w:rPr>
        <w:footnoteRef/>
      </w:r>
      <w:r>
        <w:t xml:space="preserve"> Based on steady state calculation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2F3E"/>
    <w:rsid w:val="00071102"/>
    <w:rsid w:val="00242564"/>
    <w:rsid w:val="002F52FB"/>
    <w:rsid w:val="00307E70"/>
    <w:rsid w:val="004F605F"/>
    <w:rsid w:val="00585543"/>
    <w:rsid w:val="006719A9"/>
    <w:rsid w:val="006C608B"/>
    <w:rsid w:val="006D4864"/>
    <w:rsid w:val="007203A4"/>
    <w:rsid w:val="009F2987"/>
    <w:rsid w:val="00A00318"/>
    <w:rsid w:val="00AE4686"/>
    <w:rsid w:val="00B32845"/>
    <w:rsid w:val="00B62FDC"/>
    <w:rsid w:val="00BB2F3E"/>
    <w:rsid w:val="00BB6C7F"/>
    <w:rsid w:val="00CA3B2B"/>
    <w:rsid w:val="00D36720"/>
    <w:rsid w:val="00D42008"/>
    <w:rsid w:val="00D53CB0"/>
    <w:rsid w:val="00D753AD"/>
    <w:rsid w:val="00E26556"/>
    <w:rsid w:val="00E840C7"/>
    <w:rsid w:val="00EA41B4"/>
    <w:rsid w:val="00FD2AC1"/>
    <w:rsid w:val="00FF2A29"/>
    <w:rsid w:val="00FF3D4F"/>
    <w:rsid w:val="00FF70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7098EC"/>
  <w15:chartTrackingRefBased/>
  <w15:docId w15:val="{30E197BB-C545-4226-9F92-7EEEE17AE1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2F3E"/>
    <w:pPr>
      <w:spacing w:after="200" w:line="276" w:lineRule="auto"/>
    </w:pPr>
    <w:rPr>
      <w:rFonts w:eastAsiaTheme="minorEastAsia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B2F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B2F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B2F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B2F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2F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2F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2F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2F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2F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2F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B2F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B2F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BB2F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2F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2F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2F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2F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2F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2F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2F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2F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2F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2F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2F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2F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2F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2F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2F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2F3E"/>
    <w:rPr>
      <w:b/>
      <w:bCs/>
      <w:smallCaps/>
      <w:color w:val="2F5496" w:themeColor="accent1" w:themeShade="BF"/>
      <w:spacing w:val="5"/>
    </w:rPr>
  </w:style>
  <w:style w:type="table" w:styleId="LightGrid-Accent1">
    <w:name w:val="Light Grid Accent 1"/>
    <w:basedOn w:val="TableNormal"/>
    <w:uiPriority w:val="62"/>
    <w:rsid w:val="00BB2F3E"/>
    <w:pPr>
      <w:spacing w:after="0" w:line="240" w:lineRule="auto"/>
    </w:pPr>
    <w:rPr>
      <w:rFonts w:eastAsiaTheme="minorEastAsia"/>
      <w:kern w:val="0"/>
      <w14:ligatures w14:val="none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1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  <w:shd w:val="clear" w:color="auto" w:fill="D0DBF0" w:themeFill="accent1" w:themeFillTint="3F"/>
      </w:tcPr>
    </w:tblStylePr>
    <w:tblStylePr w:type="band2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</w:tcPr>
    </w:tblStylePr>
  </w:style>
  <w:style w:type="paragraph" w:styleId="FootnoteText">
    <w:name w:val="footnote text"/>
    <w:basedOn w:val="Normal"/>
    <w:link w:val="FootnoteTextChar"/>
    <w:uiPriority w:val="99"/>
    <w:semiHidden/>
    <w:unhideWhenUsed/>
    <w:rsid w:val="00BB2F3E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BB2F3E"/>
    <w:rPr>
      <w:rFonts w:eastAsiaTheme="minorEastAsia"/>
      <w:kern w:val="0"/>
      <w:sz w:val="20"/>
      <w:szCs w:val="20"/>
      <w14:ligatures w14:val="none"/>
    </w:rPr>
  </w:style>
  <w:style w:type="character" w:styleId="FootnoteReference">
    <w:name w:val="footnote reference"/>
    <w:basedOn w:val="DefaultParagraphFont"/>
    <w:uiPriority w:val="99"/>
    <w:semiHidden/>
    <w:unhideWhenUsed/>
    <w:rsid w:val="00BB2F3E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Photochemistry.XSL" StyleName="Photochem-Photobio" Version="1"/>
</file>

<file path=customXml/itemProps1.xml><?xml version="1.0" encoding="utf-8"?>
<ds:datastoreItem xmlns:ds="http://schemas.openxmlformats.org/officeDocument/2006/customXml" ds:itemID="{75F79B91-77D1-4996-83AE-4B74D2E9F2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2</Pages>
  <Words>225</Words>
  <Characters>1286</Characters>
  <Application>Microsoft Office Word</Application>
  <DocSecurity>0</DocSecurity>
  <Lines>10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</vt:i4>
      </vt:variant>
    </vt:vector>
  </HeadingPairs>
  <TitlesOfParts>
    <vt:vector size="3" baseType="lpstr">
      <vt:lpstr/>
      <vt:lpstr>    Results</vt:lpstr>
      <vt:lpstr>    Monitoring Results</vt:lpstr>
    </vt:vector>
  </TitlesOfParts>
  <Company/>
  <LinksUpToDate>false</LinksUpToDate>
  <CharactersWithSpaces>1508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Holger Claus</dc:creator>
  <cp:keywords/>
  <dc:description/>
  <cp:lastModifiedBy>Holger Claus</cp:lastModifiedBy>
  <cp:revision>5</cp:revision>
  <dcterms:created xsi:type="dcterms:W3CDTF">2026-07-24T00:11:00Z</dcterms:created>
  <dcterms:modified xsi:type="dcterms:W3CDTF">2026-07-24T01:25:00Z</dcterms:modified>
</cp:coreProperties>
</file>