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9BF8" w14:textId="77777777" w:rsidR="00BB2F3E" w:rsidRDefault="00BB2F3E" w:rsidP="00BB2F3E">
      <w:pPr>
        <w:pStyle w:val="Heading2"/>
      </w:pPr>
      <w:r>
        <w:t>Results</w:t>
      </w:r>
    </w:p>
    <w:p w14:paraId="1394394F" w14:textId="77777777" w:rsidR="00BB2F3E" w:rsidRDefault="00BB2F3E" w:rsidP="00BB2F3E">
      <w:r>
        <w:rPr>
          <w:i/>
        </w:rPr>
        <w:t>Note: T is the OpenFOAM field name for the transported scalar this whole simulation tracks - the substance being reduced, per unit volume. In a GUV disinfection context this is typically a pathogen concentration, e.g. CFU/m³ (colony-forming units per cubic meter) or an equivalent airborne-contaminant unit; the CFD itself is unit-agnostic and just tracks relative concentration.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00"/>
        <w:gridCol w:w="3340"/>
      </w:tblGrid>
      <w:tr w:rsidR="00BB2F3E" w14:paraId="5F9399D0" w14:textId="77777777" w:rsidTr="00E5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3A300744" w14:textId="65A59855" w:rsidR="00BB2F3E" w:rsidRDefault="00BB2F3E" w:rsidP="00BB2F3E">
            <w:pPr>
              <w:pStyle w:val="Heading3"/>
            </w:pPr>
            <w:r>
              <w:t xml:space="preserve">Room Settings </w:t>
            </w:r>
          </w:p>
        </w:tc>
      </w:tr>
      <w:tr w:rsidR="00BB2F3E" w14:paraId="4359E538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86758BB" w14:textId="77777777" w:rsidR="00BB2F3E" w:rsidRDefault="00BB2F3E" w:rsidP="00A67A27">
            <w:r>
              <w:t>Average fluence rate</w:t>
            </w:r>
          </w:p>
        </w:tc>
        <w:tc>
          <w:tcPr>
            <w:tcW w:w="3340" w:type="dxa"/>
          </w:tcPr>
          <w:p w14:paraId="6FC3BDEB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2.869 µW/cm²</w:t>
            </w:r>
          </w:p>
        </w:tc>
      </w:tr>
      <w:tr w:rsidR="006719A9" w14:paraId="73C50EDF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7768362" w14:textId="76C5A239" w:rsidR="006719A9" w:rsidRDefault="006719A9" w:rsidP="00A67A27">
            <w:r>
              <w:t>Susceptibility constant Z (cm² / mJ)</w:t>
            </w:r>
          </w:p>
        </w:tc>
        <w:tc>
          <w:tcPr>
            <w:tcW w:w="3340" w:type="dxa"/>
          </w:tcPr>
          <w:p w14:paraId="789B2AC7" w14:textId="02E9DC9C" w:rsidR="006719A9" w:rsidRDefault="006719A9" w:rsidP="00A67A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&lt;6&gt;</w:t>
            </w:r>
          </w:p>
        </w:tc>
      </w:tr>
      <w:tr w:rsidR="00BB2F3E" w14:paraId="164C4CF0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ABB7121" w14:textId="77777777" w:rsidR="00BB2F3E" w:rsidRDefault="00BB2F3E" w:rsidP="00A67A27">
            <w:r>
              <w:t>Target well-mixed steady-state T</w:t>
            </w:r>
          </w:p>
        </w:tc>
        <w:tc>
          <w:tcPr>
            <w:tcW w:w="3340" w:type="dxa"/>
          </w:tcPr>
          <w:p w14:paraId="33EFEC62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B2F3E" w14:paraId="2DDD3316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083044CB" w14:textId="120B32DD" w:rsidR="00BB2F3E" w:rsidRDefault="006719A9" w:rsidP="00A67A27">
            <w:r>
              <w:t xml:space="preserve">Calculated </w:t>
            </w:r>
            <w:r w:rsidR="00BB2F3E">
              <w:t xml:space="preserve">Source injection rate </w:t>
            </w:r>
            <w:r>
              <w:t>T</w:t>
            </w:r>
            <w:r>
              <w:rPr>
                <w:vertAlign w:val="subscript"/>
              </w:rPr>
              <w:t xml:space="preserve">inj  </w:t>
            </w:r>
            <w:r>
              <w:t>(</w:t>
            </w:r>
            <w:r>
              <w:t xml:space="preserve">T-units/s </w:t>
            </w:r>
            <w:r>
              <w:t>)</w:t>
            </w:r>
            <w:r>
              <w:rPr>
                <w:rStyle w:val="FootnoteReference"/>
              </w:rPr>
              <w:footnoteReference w:id="1"/>
            </w:r>
          </w:p>
        </w:tc>
        <w:tc>
          <w:tcPr>
            <w:tcW w:w="3340" w:type="dxa"/>
          </w:tcPr>
          <w:p w14:paraId="3ECBDCAA" w14:textId="7B0583BF" w:rsidR="00BB2F3E" w:rsidRDefault="00BB2F3E" w:rsidP="00A67A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0.06579 </w:t>
            </w:r>
          </w:p>
        </w:tc>
      </w:tr>
      <w:tr w:rsidR="00E840C7" w14:paraId="222664B1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196EBD3" w14:textId="064863BE" w:rsidR="00E840C7" w:rsidRDefault="00E840C7" w:rsidP="00E840C7">
            <w:r>
              <w:t>Calculated</w:t>
            </w:r>
            <w:r>
              <w:t xml:space="preserve"> eACH</w:t>
            </w:r>
            <w:r w:rsidR="00CA3B2B">
              <w:rPr>
                <w:rStyle w:val="FootnoteReference"/>
              </w:rPr>
              <w:footnoteReference w:id="2"/>
            </w:r>
          </w:p>
        </w:tc>
        <w:tc>
          <w:tcPr>
            <w:tcW w:w="3340" w:type="dxa"/>
          </w:tcPr>
          <w:p w14:paraId="65E1CA9A" w14:textId="58AC98A1" w:rsidR="00E840C7" w:rsidRDefault="00E840C7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61.98 /hr</w:t>
            </w:r>
          </w:p>
        </w:tc>
      </w:tr>
      <w:tr w:rsidR="00E840C7" w14:paraId="732FC72C" w14:textId="77777777" w:rsidTr="00DA07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69D0328A" w14:textId="458BD12C" w:rsidR="00E840C7" w:rsidRDefault="00E840C7" w:rsidP="00E840C7">
            <w:pPr>
              <w:pStyle w:val="Heading3"/>
            </w:pPr>
            <w:r>
              <w:t xml:space="preserve">Phase 1 </w:t>
            </w:r>
            <w:r>
              <w:t>– simulation results</w:t>
            </w:r>
            <w:r>
              <w:t xml:space="preserve"> </w:t>
            </w:r>
            <w:r w:rsidRPr="00BB2F3E">
              <w:rPr>
                <w:rStyle w:val="Heading4Char"/>
                <w:sz w:val="22"/>
                <w:szCs w:val="22"/>
              </w:rPr>
              <w:t xml:space="preserve">(no UV, only mechanical ACH, with source injection) </w:t>
            </w:r>
          </w:p>
        </w:tc>
      </w:tr>
      <w:tr w:rsidR="00E840C7" w14:paraId="0581AFBB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9FD97DB" w14:textId="417968B8" w:rsidR="00E840C7" w:rsidRDefault="00E840C7" w:rsidP="00E840C7">
            <w:r>
              <w:t xml:space="preserve">Steady state T, calculated from </w:t>
            </w:r>
            <w:r>
              <w:t xml:space="preserve"> moving average (</w:t>
            </w:r>
            <w:r>
              <w:t>&lt;15% &gt; of last results</w:t>
            </w:r>
            <w:r>
              <w:t>)</w:t>
            </w:r>
          </w:p>
        </w:tc>
        <w:tc>
          <w:tcPr>
            <w:tcW w:w="3340" w:type="dxa"/>
          </w:tcPr>
          <w:p w14:paraId="30B75D43" w14:textId="19DB7EE2" w:rsidR="00E840C7" w:rsidRDefault="00E840C7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2.009 (plateaued)</w:t>
            </w:r>
          </w:p>
        </w:tc>
      </w:tr>
      <w:tr w:rsidR="00E840C7" w14:paraId="160E3465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B3F4AFC" w14:textId="2A127FE1" w:rsidR="00E840C7" w:rsidRDefault="00E840C7" w:rsidP="00E840C7">
            <w:r>
              <w:t xml:space="preserve">CV </w:t>
            </w:r>
            <w:r>
              <w:rPr>
                <w:rStyle w:val="FootnoteReference"/>
              </w:rPr>
              <w:footnoteReference w:id="3"/>
            </w:r>
            <w:r>
              <w:t>(&lt;15% &gt; of last results)</w:t>
            </w:r>
          </w:p>
        </w:tc>
        <w:tc>
          <w:tcPr>
            <w:tcW w:w="3340" w:type="dxa"/>
          </w:tcPr>
          <w:p w14:paraId="262C8C47" w14:textId="77777777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</w:tr>
      <w:tr w:rsidR="00E840C7" w14:paraId="0BD9D6FE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9FCCDCD" w14:textId="34DB0105" w:rsidR="00E840C7" w:rsidRDefault="00E840C7" w:rsidP="00E840C7">
            <w:r>
              <w:t>E</w:t>
            </w:r>
            <w:r>
              <w:t>xtrapolated T</w:t>
            </w:r>
            <w:r w:rsidR="00307E70">
              <w:rPr>
                <w:vertAlign w:val="subscript"/>
              </w:rPr>
              <w:t>SS1</w:t>
            </w:r>
            <w:r>
              <w:t xml:space="preserve">∞ </w:t>
            </w:r>
            <w:r>
              <w:rPr>
                <w:rStyle w:val="FootnoteReference"/>
              </w:rPr>
              <w:footnoteReference w:id="4"/>
            </w:r>
          </w:p>
        </w:tc>
        <w:tc>
          <w:tcPr>
            <w:tcW w:w="3340" w:type="dxa"/>
          </w:tcPr>
          <w:p w14:paraId="326FF369" w14:textId="77777777" w:rsidR="00E840C7" w:rsidRDefault="00E840C7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2.028, fit CV=0.04%</w:t>
            </w:r>
          </w:p>
        </w:tc>
      </w:tr>
      <w:tr w:rsidR="00E840C7" w14:paraId="53CD776E" w14:textId="77777777" w:rsidTr="005B5E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6FBA2940" w14:textId="47B2DD7E" w:rsidR="00E840C7" w:rsidRDefault="00E840C7" w:rsidP="00E840C7">
            <w:r w:rsidRPr="00BB2F3E">
              <w:rPr>
                <w:rStyle w:val="Heading3Char"/>
              </w:rPr>
              <w:t>Phase 2 – simulation results</w:t>
            </w:r>
            <w:r>
              <w:t xml:space="preserve">  </w:t>
            </w:r>
            <w:r w:rsidRPr="00BB2F3E">
              <w:rPr>
                <w:rStyle w:val="Heading4Char"/>
              </w:rPr>
              <w:t>(</w:t>
            </w:r>
            <w:r>
              <w:rPr>
                <w:rStyle w:val="Heading4Char"/>
              </w:rPr>
              <w:t>with</w:t>
            </w:r>
            <w:r w:rsidRPr="00BB2F3E">
              <w:rPr>
                <w:rStyle w:val="Heading4Char"/>
              </w:rPr>
              <w:t xml:space="preserve"> UV, only mechanical ACH, with source injection)</w:t>
            </w:r>
          </w:p>
        </w:tc>
      </w:tr>
      <w:tr w:rsidR="00E840C7" w14:paraId="31EE5C4D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F198B91" w14:textId="17BD5882" w:rsidR="00E840C7" w:rsidRDefault="00E840C7" w:rsidP="00E840C7">
            <w:r>
              <w:t>Steady State T</w:t>
            </w:r>
            <w:r>
              <w:rPr>
                <w:vertAlign w:val="subscript"/>
              </w:rPr>
              <w:t>SS2</w:t>
            </w:r>
            <w:r>
              <w:t xml:space="preserve">, calculated from </w:t>
            </w:r>
            <w:r>
              <w:t xml:space="preserve">moving average (last </w:t>
            </w:r>
            <w:r>
              <w:t>&lt;</w:t>
            </w:r>
            <w:r>
              <w:t>749</w:t>
            </w:r>
            <w:r>
              <w:t>&gt;</w:t>
            </w:r>
            <w:r>
              <w:t xml:space="preserve"> iterations)</w:t>
            </w:r>
          </w:p>
        </w:tc>
        <w:tc>
          <w:tcPr>
            <w:tcW w:w="3340" w:type="dxa"/>
          </w:tcPr>
          <w:p w14:paraId="520C037B" w14:textId="55F93E87" w:rsidR="00E840C7" w:rsidRDefault="00E840C7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0.1161 </w:t>
            </w:r>
          </w:p>
        </w:tc>
      </w:tr>
      <w:tr w:rsidR="00E840C7" w14:paraId="0016508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057CEEA" w14:textId="1AAE7949" w:rsidR="00E840C7" w:rsidRDefault="00E840C7" w:rsidP="00E840C7">
            <w:r>
              <w:t>CV (last &lt;749&gt; iterations)</w:t>
            </w:r>
          </w:p>
        </w:tc>
        <w:tc>
          <w:tcPr>
            <w:tcW w:w="3340" w:type="dxa"/>
          </w:tcPr>
          <w:p w14:paraId="63A9B1C9" w14:textId="77777777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0.4%</w:t>
            </w:r>
          </w:p>
        </w:tc>
      </w:tr>
      <w:tr w:rsidR="00E840C7" w14:paraId="75D90366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731B083A" w14:textId="51F1C32F" w:rsidR="00E840C7" w:rsidRDefault="00E840C7" w:rsidP="00E840C7">
            <w:r>
              <w:t>Extrapolated</w:t>
            </w:r>
            <w:r>
              <w:t xml:space="preserve"> T</w:t>
            </w:r>
            <w:r w:rsidR="00307E70">
              <w:rPr>
                <w:vertAlign w:val="subscript"/>
              </w:rPr>
              <w:t>SS2</w:t>
            </w:r>
            <w:r>
              <w:t xml:space="preserve">∞ </w:t>
            </w:r>
            <w:r w:rsidR="00307E70">
              <w:rPr>
                <w:rStyle w:val="FootnoteReference"/>
              </w:rPr>
              <w:footnoteReference w:id="5"/>
            </w:r>
          </w:p>
        </w:tc>
        <w:tc>
          <w:tcPr>
            <w:tcW w:w="3340" w:type="dxa"/>
          </w:tcPr>
          <w:p w14:paraId="6F178F15" w14:textId="77777777" w:rsidR="00E840C7" w:rsidRDefault="00E840C7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0.1194, fit CV=0.46%</w:t>
            </w:r>
          </w:p>
        </w:tc>
      </w:tr>
      <w:tr w:rsidR="00E840C7" w14:paraId="78EED818" w14:textId="77777777" w:rsidTr="00D60D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44AB4124" w14:textId="35B2026E" w:rsidR="00E840C7" w:rsidRDefault="00E840C7" w:rsidP="00E840C7">
            <w:pPr>
              <w:pStyle w:val="Heading3"/>
            </w:pPr>
            <w:r>
              <w:lastRenderedPageBreak/>
              <w:t>Analysis of simulations</w:t>
            </w:r>
          </w:p>
        </w:tc>
      </w:tr>
      <w:tr w:rsidR="00E840C7" w14:paraId="7167CF87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645A1D" w14:textId="6C63D4CF" w:rsidR="00E840C7" w:rsidRDefault="00E840C7" w:rsidP="00E840C7">
            <w:r>
              <w:t xml:space="preserve">Total </w:t>
            </w:r>
            <w:r w:rsidR="00307E70">
              <w:t xml:space="preserve">average </w:t>
            </w:r>
            <w:r>
              <w:t xml:space="preserve">Pathogen reduction in room 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340" w:type="dxa"/>
          </w:tcPr>
          <w:p w14:paraId="21E1E055" w14:textId="1DA7C7B4" w:rsidR="00E840C7" w:rsidRDefault="00E840C7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94.1% </w:t>
            </w:r>
          </w:p>
        </w:tc>
      </w:tr>
      <w:tr w:rsidR="00E840C7" w14:paraId="1BB63119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1272ED3" w14:textId="5CEBDA9F" w:rsidR="00E840C7" w:rsidRDefault="00E840C7" w:rsidP="00E840C7">
            <w:r>
              <w:t xml:space="preserve">Effective </w:t>
            </w:r>
            <w:r w:rsidR="00CA3B2B">
              <w:t xml:space="preserve">pathogen </w:t>
            </w:r>
            <w:r w:rsidR="00E26556">
              <w:t xml:space="preserve">(mechanical) </w:t>
            </w:r>
            <w:r>
              <w:t>ACH</w:t>
            </w:r>
            <w:r w:rsidR="00CA3B2B">
              <w:rPr>
                <w:vertAlign w:val="subscript"/>
              </w:rPr>
              <w:t>eff</w:t>
            </w:r>
            <w:r w:rsidR="00CA3B2B">
              <w:rPr>
                <w:rStyle w:val="FootnoteReference"/>
              </w:rPr>
              <w:footnoteReference w:id="7"/>
            </w:r>
            <w:r>
              <w:t xml:space="preserve"> </w:t>
            </w:r>
            <w:r w:rsidR="00307E70">
              <w:t>(using extrapolated T∞)</w:t>
            </w:r>
          </w:p>
        </w:tc>
        <w:tc>
          <w:tcPr>
            <w:tcW w:w="3340" w:type="dxa"/>
          </w:tcPr>
          <w:p w14:paraId="373C347B" w14:textId="3369241D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2.959 /hr </w:t>
            </w:r>
          </w:p>
        </w:tc>
      </w:tr>
      <w:tr w:rsidR="00CA3B2B" w14:paraId="116FA571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84AF1D1" w14:textId="10BCC64F" w:rsidR="00CA3B2B" w:rsidRPr="00B32845" w:rsidRDefault="00CA3B2B" w:rsidP="00E840C7">
            <w:pPr>
              <w:rPr>
                <w:vertAlign w:val="subscript"/>
              </w:rPr>
            </w:pPr>
            <w:r>
              <w:t xml:space="preserve">Room ventilation </w:t>
            </w:r>
            <w:r w:rsidR="00E26556">
              <w:t xml:space="preserve">pathogen removal </w:t>
            </w:r>
            <w:r>
              <w:t>efficacy</w:t>
            </w:r>
            <w:r>
              <w:rPr>
                <w:rStyle w:val="FootnoteReference"/>
              </w:rPr>
              <w:footnoteReference w:id="8"/>
            </w:r>
            <w:r w:rsidR="00B32845">
              <w:t xml:space="preserve"> E</w:t>
            </w:r>
            <w:r w:rsidR="00071102">
              <w:rPr>
                <w:vertAlign w:val="subscript"/>
              </w:rPr>
              <w:t>ACHeff</w:t>
            </w:r>
          </w:p>
        </w:tc>
        <w:tc>
          <w:tcPr>
            <w:tcW w:w="3340" w:type="dxa"/>
          </w:tcPr>
          <w:p w14:paraId="1E2BCD4C" w14:textId="00488248" w:rsidR="00CA3B2B" w:rsidRDefault="00CA3B2B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49.3%</w:t>
            </w:r>
          </w:p>
        </w:tc>
      </w:tr>
      <w:tr w:rsidR="00E840C7" w14:paraId="7725E695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7863A77" w14:textId="74810374" w:rsidR="00E840C7" w:rsidRPr="00307E70" w:rsidRDefault="00B32845" w:rsidP="00E840C7">
            <w:r>
              <w:t xml:space="preserve">True </w:t>
            </w:r>
            <w:r w:rsidR="00E840C7">
              <w:t>CFD measured eACH</w:t>
            </w:r>
            <w:r w:rsidR="00307E70">
              <w:rPr>
                <w:vertAlign w:val="subscript"/>
              </w:rPr>
              <w:t>CFD</w:t>
            </w:r>
            <w:r w:rsidR="00307E70">
              <w:rPr>
                <w:rStyle w:val="FootnoteReference"/>
              </w:rPr>
              <w:footnoteReference w:id="9"/>
            </w:r>
            <w:r w:rsidR="00307E70">
              <w:t xml:space="preserve"> </w:t>
            </w:r>
          </w:p>
        </w:tc>
        <w:tc>
          <w:tcPr>
            <w:tcW w:w="3340" w:type="dxa"/>
          </w:tcPr>
          <w:p w14:paraId="337DAB6B" w14:textId="6D950A61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47.28 /hr </w:t>
            </w:r>
          </w:p>
        </w:tc>
      </w:tr>
      <w:tr w:rsidR="00B32845" w14:paraId="36ACB14E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48DC7EAC" w14:textId="433B2748" w:rsidR="00B32845" w:rsidRDefault="00B32845" w:rsidP="00E840C7">
            <w:r>
              <w:t xml:space="preserve">Simple </w:t>
            </w:r>
            <w:r>
              <w:t>CFD measured eACH</w:t>
            </w:r>
            <w:r>
              <w:rPr>
                <w:vertAlign w:val="subscript"/>
              </w:rPr>
              <w:t>CFD</w:t>
            </w:r>
            <w:r>
              <w:rPr>
                <w:vertAlign w:val="subscript"/>
              </w:rPr>
              <w:t>_s</w:t>
            </w:r>
            <w:r>
              <w:rPr>
                <w:rStyle w:val="FootnoteReference"/>
              </w:rPr>
              <w:footnoteReference w:id="10"/>
            </w:r>
          </w:p>
        </w:tc>
        <w:tc>
          <w:tcPr>
            <w:tcW w:w="3340" w:type="dxa"/>
          </w:tcPr>
          <w:p w14:paraId="4DF47802" w14:textId="631B7DC0" w:rsidR="00B32845" w:rsidRDefault="00B32845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95.9% /hr</w:t>
            </w:r>
          </w:p>
        </w:tc>
      </w:tr>
      <w:tr w:rsidR="00E840C7" w14:paraId="225A0AC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040BE39C" w14:textId="77777777" w:rsidR="00E840C7" w:rsidRDefault="00E840C7" w:rsidP="00E840C7">
            <w:r>
              <w:t>Total ACH in room (ACH+eACH_uv)</w:t>
            </w:r>
          </w:p>
        </w:tc>
        <w:tc>
          <w:tcPr>
            <w:tcW w:w="3340" w:type="dxa"/>
          </w:tcPr>
          <w:p w14:paraId="5727865A" w14:textId="77777777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50.24 /hr</w:t>
            </w:r>
          </w:p>
        </w:tc>
      </w:tr>
      <w:tr w:rsidR="00E26556" w14:paraId="7FF6A5B9" w14:textId="77777777" w:rsidTr="0084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55E65278" w14:textId="25EC8C3E" w:rsidR="00E26556" w:rsidRDefault="00585543" w:rsidP="00A00318">
            <w:pPr>
              <w:pStyle w:val="Heading3"/>
            </w:pPr>
            <w:r>
              <w:t xml:space="preserve">UV </w:t>
            </w:r>
            <w:r w:rsidR="00E26556">
              <w:t xml:space="preserve">Germicidal </w:t>
            </w:r>
            <w:r w:rsidR="00A00318">
              <w:t>Effectiveness</w:t>
            </w:r>
            <w:r w:rsidR="00A00318">
              <w:rPr>
                <w:rStyle w:val="FootnoteReference"/>
              </w:rPr>
              <w:footnoteReference w:id="11"/>
            </w:r>
          </w:p>
        </w:tc>
      </w:tr>
      <w:tr w:rsidR="00E26556" w14:paraId="465BA750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41A218B" w14:textId="4C54FA19" w:rsidR="00E26556" w:rsidRDefault="00585543" w:rsidP="00E840C7">
            <w:r>
              <w:t>True UVGI Effectiveness</w:t>
            </w:r>
          </w:p>
        </w:tc>
        <w:tc>
          <w:tcPr>
            <w:tcW w:w="3340" w:type="dxa"/>
          </w:tcPr>
          <w:p w14:paraId="6985A018" w14:textId="5FDB583B" w:rsidR="00E26556" w:rsidRDefault="00585543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94.5%</w:t>
            </w:r>
          </w:p>
        </w:tc>
      </w:tr>
      <w:tr w:rsidR="00585543" w14:paraId="3EEF7ED0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AB3EBA9" w14:textId="4F522102" w:rsidR="00585543" w:rsidRDefault="00585543" w:rsidP="00E840C7">
            <w:r>
              <w:t>Simple UVGI Effectiveness</w:t>
            </w:r>
            <w:r>
              <w:rPr>
                <w:rStyle w:val="FootnoteReference"/>
              </w:rPr>
              <w:footnoteReference w:id="12"/>
            </w:r>
          </w:p>
        </w:tc>
        <w:tc>
          <w:tcPr>
            <w:tcW w:w="3340" w:type="dxa"/>
          </w:tcPr>
          <w:p w14:paraId="03646E7E" w14:textId="6AD44BBA" w:rsidR="00585543" w:rsidRDefault="00B32845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94.1%</w:t>
            </w:r>
          </w:p>
        </w:tc>
      </w:tr>
    </w:tbl>
    <w:p w14:paraId="33435662" w14:textId="477B4BDD" w:rsidR="00242564" w:rsidRDefault="00242564" w:rsidP="00E26556"/>
    <w:sectPr w:rsidR="00242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22D88" w14:textId="77777777" w:rsidR="00B62FDC" w:rsidRDefault="00B62FDC" w:rsidP="00BB2F3E">
      <w:pPr>
        <w:spacing w:after="0" w:line="240" w:lineRule="auto"/>
      </w:pPr>
      <w:r>
        <w:separator/>
      </w:r>
    </w:p>
  </w:endnote>
  <w:endnote w:type="continuationSeparator" w:id="0">
    <w:p w14:paraId="09329AAE" w14:textId="77777777" w:rsidR="00B62FDC" w:rsidRDefault="00B62FDC" w:rsidP="00BB2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9A233" w14:textId="77777777" w:rsidR="00B62FDC" w:rsidRDefault="00B62FDC" w:rsidP="00BB2F3E">
      <w:pPr>
        <w:spacing w:after="0" w:line="240" w:lineRule="auto"/>
      </w:pPr>
      <w:r>
        <w:separator/>
      </w:r>
    </w:p>
  </w:footnote>
  <w:footnote w:type="continuationSeparator" w:id="0">
    <w:p w14:paraId="4B2AC4DD" w14:textId="77777777" w:rsidR="00B62FDC" w:rsidRDefault="00B62FDC" w:rsidP="00BB2F3E">
      <w:pPr>
        <w:spacing w:after="0" w:line="240" w:lineRule="auto"/>
      </w:pPr>
      <w:r>
        <w:continuationSeparator/>
      </w:r>
    </w:p>
  </w:footnote>
  <w:footnote w:id="1">
    <w:p w14:paraId="795CB43E" w14:textId="13EEAF36" w:rsidR="006719A9" w:rsidRPr="006719A9" w:rsidRDefault="006719A9">
      <w:pPr>
        <w:pStyle w:val="FootnoteText"/>
      </w:pPr>
      <w:r>
        <w:rPr>
          <w:rStyle w:val="FootnoteReference"/>
        </w:rPr>
        <w:footnoteRef/>
      </w:r>
      <w:r>
        <w:t xml:space="preserve"> Calculated based on given ACH and target well mixed steady state T with equation &lt;</w:t>
      </w:r>
      <w:r w:rsidRPr="006719A9">
        <w:t xml:space="preserve"> </w:t>
      </w:r>
      <w:r>
        <w:t>T</w:t>
      </w:r>
      <w:r>
        <w:rPr>
          <w:vertAlign w:val="subscript"/>
        </w:rPr>
        <w:t>inj</w:t>
      </w:r>
      <w:r>
        <w:rPr>
          <w:vertAlign w:val="subscript"/>
        </w:rPr>
        <w:t xml:space="preserve"> </w:t>
      </w:r>
      <w:r>
        <w:t>= …&gt;. If more than one injection source is given, the amount is equality divided by the quantity of sources</w:t>
      </w:r>
    </w:p>
  </w:footnote>
  <w:footnote w:id="2">
    <w:p w14:paraId="1EEEA11F" w14:textId="06517902" w:rsidR="00CA3B2B" w:rsidRDefault="00CA3B2B">
      <w:pPr>
        <w:pStyle w:val="FootnoteText"/>
      </w:pPr>
      <w:r>
        <w:rPr>
          <w:rStyle w:val="FootnoteReference"/>
        </w:rPr>
        <w:footnoteRef/>
      </w:r>
      <w:r>
        <w:t xml:space="preserve"> Assuming </w:t>
      </w:r>
      <w:r>
        <w:t xml:space="preserve">well mixed </w:t>
      </w:r>
      <w:r>
        <w:t>condition</w:t>
      </w:r>
      <w:r>
        <w:t xml:space="preserve"> eACH = Z*Eavg</w:t>
      </w:r>
    </w:p>
  </w:footnote>
  <w:footnote w:id="3">
    <w:p w14:paraId="22C0A931" w14:textId="5BE88337" w:rsidR="00E840C7" w:rsidRDefault="00E840C7">
      <w:pPr>
        <w:pStyle w:val="FootnoteText"/>
      </w:pPr>
      <w:r>
        <w:rPr>
          <w:rStyle w:val="FootnoteReference"/>
        </w:rPr>
        <w:footnoteRef/>
      </w:r>
      <w:r>
        <w:t xml:space="preserve"> CV = Standard deviation/ average </w:t>
      </w:r>
    </w:p>
  </w:footnote>
  <w:footnote w:id="4">
    <w:p w14:paraId="04DA019F" w14:textId="562B1B11" w:rsidR="00E840C7" w:rsidRDefault="00E840C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07E70">
        <w:t xml:space="preserve">Extrapolated </w:t>
      </w:r>
      <w:r>
        <w:t>based on &lt;n&gt; simulation points with equation &lt;T</w:t>
      </w:r>
      <w:r w:rsidR="00307E70">
        <w:rPr>
          <w:vertAlign w:val="subscript"/>
        </w:rPr>
        <w:t>SS1</w:t>
      </w:r>
      <w:r>
        <w:t>∞</w:t>
      </w:r>
      <w:r>
        <w:t xml:space="preserve"> = …….&gt;. T is the </w:t>
      </w:r>
      <w:r>
        <w:t>room</w:t>
      </w:r>
      <w:r>
        <w:t xml:space="preserve"> average </w:t>
      </w:r>
    </w:p>
  </w:footnote>
  <w:footnote w:id="5">
    <w:p w14:paraId="42D9D072" w14:textId="39101C55" w:rsidR="00307E70" w:rsidRDefault="00307E7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Extrapolated based on &lt;n&gt; simulation points with equation &lt;T</w:t>
      </w:r>
      <w:r>
        <w:rPr>
          <w:vertAlign w:val="subscript"/>
        </w:rPr>
        <w:t>SS2</w:t>
      </w:r>
      <w:r>
        <w:t>∞ = …….&gt;. T is the room average</w:t>
      </w:r>
    </w:p>
  </w:footnote>
  <w:footnote w:id="6">
    <w:p w14:paraId="4A5AFDAE" w14:textId="474A8410" w:rsidR="00E840C7" w:rsidRDefault="00E840C7">
      <w:pPr>
        <w:pStyle w:val="FootnoteText"/>
      </w:pPr>
      <w:r>
        <w:rPr>
          <w:rStyle w:val="FootnoteReference"/>
        </w:rPr>
        <w:footnoteRef/>
      </w:r>
      <w:r>
        <w:t xml:space="preserve"> Based on average T and sum of mechanical ACH and UV based eACHU</w:t>
      </w:r>
      <w:r>
        <w:t>sing extrapolated T∞</w:t>
      </w:r>
      <w:r>
        <w:t>, calculated with equation &lt; reduction = …&gt;</w:t>
      </w:r>
    </w:p>
  </w:footnote>
  <w:footnote w:id="7">
    <w:p w14:paraId="5E1CA097" w14:textId="0D035EA1" w:rsidR="00CA3B2B" w:rsidRPr="00CA3B2B" w:rsidRDefault="00CA3B2B">
      <w:pPr>
        <w:pStyle w:val="FootnoteText"/>
      </w:pPr>
      <w:r>
        <w:rPr>
          <w:rStyle w:val="FootnoteReference"/>
        </w:rPr>
        <w:footnoteRef/>
      </w:r>
      <w:r>
        <w:t xml:space="preserve"> In not well mixed conditions the actual pathogen removal will be different than the mechanical air exchange rate (ACH). This value ACH</w:t>
      </w:r>
      <w:r>
        <w:rPr>
          <w:vertAlign w:val="subscript"/>
        </w:rPr>
        <w:t>eff</w:t>
      </w:r>
      <w:r>
        <w:t xml:space="preserve"> is calculated from the simulated T values over time of phase 1 (no UV) by approximating the data of T(t) to equation &lt;…….&gt;</w:t>
      </w:r>
    </w:p>
  </w:footnote>
  <w:footnote w:id="8">
    <w:p w14:paraId="798219E1" w14:textId="4879BACA" w:rsidR="00CA3B2B" w:rsidRDefault="00CA3B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071102">
        <w:t>E</w:t>
      </w:r>
      <w:r w:rsidR="00071102">
        <w:rPr>
          <w:vertAlign w:val="subscript"/>
        </w:rPr>
        <w:t>ACHeff</w:t>
      </w:r>
      <w:r w:rsidR="00307E70">
        <w:t xml:space="preserve">= </w:t>
      </w:r>
      <w:r w:rsidR="00307E70">
        <w:t>ACH</w:t>
      </w:r>
      <w:r w:rsidR="00307E70">
        <w:rPr>
          <w:vertAlign w:val="subscript"/>
        </w:rPr>
        <w:t>eff</w:t>
      </w:r>
      <w:r w:rsidR="00307E70">
        <w:t xml:space="preserve">  / ACH</w:t>
      </w:r>
    </w:p>
  </w:footnote>
  <w:footnote w:id="9">
    <w:p w14:paraId="550FC9C4" w14:textId="1294FD0D" w:rsidR="00307E70" w:rsidRPr="00307E70" w:rsidRDefault="00307E7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B32845">
        <w:t>Based on true mechanical ventilation ACH</w:t>
      </w:r>
      <w:r w:rsidR="00B32845">
        <w:rPr>
          <w:vertAlign w:val="subscript"/>
        </w:rPr>
        <w:t>eff</w:t>
      </w:r>
      <w:r w:rsidR="00B32845">
        <w:t xml:space="preserve"> </w:t>
      </w:r>
      <w:r>
        <w:t>(using extrapolated T∞)</w:t>
      </w:r>
      <w:r>
        <w:t xml:space="preserve"> calculated with equation &lt;eACH</w:t>
      </w:r>
      <w:r>
        <w:rPr>
          <w:vertAlign w:val="subscript"/>
        </w:rPr>
        <w:t>CFD</w:t>
      </w:r>
      <w:r>
        <w:t xml:space="preserve"> =…..&gt;</w:t>
      </w:r>
    </w:p>
  </w:footnote>
  <w:footnote w:id="10">
    <w:p w14:paraId="2883026B" w14:textId="0A9EA589" w:rsidR="00B32845" w:rsidRPr="00307E70" w:rsidRDefault="00B32845" w:rsidP="00B3284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Based on rated ventilation ACH </w:t>
      </w:r>
      <w:r>
        <w:t>(</w:t>
      </w:r>
      <w:r>
        <w:t xml:space="preserve">and </w:t>
      </w:r>
      <w:r>
        <w:t>using extrapolated T∞) calculated with equation &lt;eACH</w:t>
      </w:r>
      <w:r>
        <w:rPr>
          <w:vertAlign w:val="subscript"/>
        </w:rPr>
        <w:t>CFD</w:t>
      </w:r>
      <w:r>
        <w:rPr>
          <w:vertAlign w:val="subscript"/>
        </w:rPr>
        <w:t>_s</w:t>
      </w:r>
      <w:r>
        <w:t xml:space="preserve"> =</w:t>
      </w:r>
      <w:r w:rsidRPr="00B32845">
        <w:t xml:space="preserve"> </w:t>
      </w:r>
      <w:r>
        <w:t>eACH</w:t>
      </w:r>
      <w:r>
        <w:rPr>
          <w:vertAlign w:val="subscript"/>
        </w:rPr>
        <w:t>CFD</w:t>
      </w:r>
      <w:r>
        <w:t xml:space="preserve"> /</w:t>
      </w:r>
      <w:r w:rsidR="00071102">
        <w:t>E</w:t>
      </w:r>
      <w:r w:rsidR="00071102">
        <w:rPr>
          <w:vertAlign w:val="subscript"/>
        </w:rPr>
        <w:t>ACHeff</w:t>
      </w:r>
      <w:r>
        <w:t>&gt;</w:t>
      </w:r>
    </w:p>
  </w:footnote>
  <w:footnote w:id="11">
    <w:p w14:paraId="0021CD03" w14:textId="0F0FF668" w:rsidR="00A00318" w:rsidRPr="00A00318" w:rsidRDefault="00A003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85543">
        <w:t xml:space="preserve">This is a value showing the effectiveness of UV over mechanical ventilation alone. </w:t>
      </w:r>
      <w:r>
        <w:t>See “</w:t>
      </w:r>
      <w:r w:rsidRPr="00A00318">
        <w:t>Miller, Shelly L. / MacHer, Janet M.</w:t>
      </w:r>
      <w:r w:rsidRPr="00A00318">
        <w:t xml:space="preserve">; </w:t>
      </w:r>
      <w:r w:rsidRPr="00A00318">
        <w:t>Evaluation of a Methodology for Quantifying the Effect of Room Air Ultraviolet Germicidal Irradiation on Airborne Bacteria</w:t>
      </w:r>
      <w:r w:rsidRPr="00A00318">
        <w:t xml:space="preserve">; </w:t>
      </w:r>
      <w:r w:rsidRPr="00A00318">
        <w:t>2000-09</w:t>
      </w:r>
      <w:r w:rsidRPr="00A00318">
        <w:t xml:space="preserve">; </w:t>
      </w:r>
      <w:r w:rsidRPr="00A00318">
        <w:rPr>
          <w:i/>
          <w:iCs/>
        </w:rPr>
        <w:t>Aerosol Science and Technology</w:t>
      </w:r>
      <w:r w:rsidRPr="00A00318">
        <w:t> , Vol. 33, No. 3</w:t>
      </w:r>
      <w:r w:rsidRPr="00A00318">
        <w:br/>
        <w:t>Taylor &amp; Francis</w:t>
      </w:r>
      <w:r w:rsidRPr="00A00318">
        <w:t xml:space="preserve">; </w:t>
      </w:r>
      <w:r w:rsidRPr="00A00318">
        <w:t xml:space="preserve">p. </w:t>
      </w:r>
      <w:r w:rsidRPr="00A00318">
        <w:t>283</w:t>
      </w:r>
      <w:r>
        <w:t xml:space="preserve">” </w:t>
      </w:r>
      <w:r w:rsidR="00585543">
        <w:t xml:space="preserve">; </w:t>
      </w:r>
      <w:r>
        <w:t>E= 1- (T</w:t>
      </w:r>
      <w:r>
        <w:rPr>
          <w:vertAlign w:val="subscript"/>
        </w:rPr>
        <w:t>SS2</w:t>
      </w:r>
      <w:r>
        <w:t>/T</w:t>
      </w:r>
      <w:r>
        <w:rPr>
          <w:vertAlign w:val="subscript"/>
        </w:rPr>
        <w:t>SS1</w:t>
      </w:r>
      <w:r>
        <w:t>-T</w:t>
      </w:r>
      <w:r>
        <w:rPr>
          <w:vertAlign w:val="subscript"/>
        </w:rPr>
        <w:t>SS2</w:t>
      </w:r>
      <w:r>
        <w:t>) or E= 1-(eACH/(ACH</w:t>
      </w:r>
      <w:r w:rsidR="00585543">
        <w:rPr>
          <w:vertAlign w:val="subscript"/>
        </w:rPr>
        <w:t>eff</w:t>
      </w:r>
      <w:r>
        <w:t>+eACH)</w:t>
      </w:r>
    </w:p>
  </w:footnote>
  <w:footnote w:id="12">
    <w:p w14:paraId="1CC92B5C" w14:textId="276D2940" w:rsidR="00585543" w:rsidRPr="00585543" w:rsidRDefault="00585543">
      <w:pPr>
        <w:pStyle w:val="FootnoteText"/>
      </w:pPr>
      <w:r>
        <w:rPr>
          <w:rStyle w:val="FootnoteReference"/>
        </w:rPr>
        <w:footnoteRef/>
      </w:r>
      <w:r>
        <w:t xml:space="preserve"> Instead of using the actual ACH</w:t>
      </w:r>
      <w:r>
        <w:rPr>
          <w:vertAlign w:val="subscript"/>
        </w:rPr>
        <w:t>eff</w:t>
      </w:r>
      <w:r>
        <w:t xml:space="preserve"> (which can be substantially lower than rated ACH), we use ACH; </w:t>
      </w:r>
      <w:r>
        <w:br/>
      </w:r>
      <w:r>
        <w:t>E= 1-(eACH/(ACH+eACH)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3E"/>
    <w:rsid w:val="00071102"/>
    <w:rsid w:val="00242564"/>
    <w:rsid w:val="002F52FB"/>
    <w:rsid w:val="00307E70"/>
    <w:rsid w:val="00585543"/>
    <w:rsid w:val="006719A9"/>
    <w:rsid w:val="00A00318"/>
    <w:rsid w:val="00B32845"/>
    <w:rsid w:val="00B62FDC"/>
    <w:rsid w:val="00BB2F3E"/>
    <w:rsid w:val="00BB6C7F"/>
    <w:rsid w:val="00CA3B2B"/>
    <w:rsid w:val="00D36720"/>
    <w:rsid w:val="00D53CB0"/>
    <w:rsid w:val="00D753AD"/>
    <w:rsid w:val="00E26556"/>
    <w:rsid w:val="00E840C7"/>
    <w:rsid w:val="00FF2A29"/>
    <w:rsid w:val="00FF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98EC"/>
  <w15:chartTrackingRefBased/>
  <w15:docId w15:val="{30E197BB-C545-4226-9F92-7EEEE17A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3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2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3E"/>
    <w:rPr>
      <w:b/>
      <w:bCs/>
      <w:smallCaps/>
      <w:color w:val="2F5496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BB2F3E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B2F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2F3E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B2F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Photochemistry.XSL" StyleName="Photochem-Photobio" Version="1"/>
</file>

<file path=customXml/itemProps1.xml><?xml version="1.0" encoding="utf-8"?>
<ds:datastoreItem xmlns:ds="http://schemas.openxmlformats.org/officeDocument/2006/customXml" ds:itemID="{75F79B91-77D1-4996-83AE-4B74D2E9F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Results</vt:lpstr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Claus</dc:creator>
  <cp:keywords/>
  <dc:description/>
  <cp:lastModifiedBy>Holger Claus</cp:lastModifiedBy>
  <cp:revision>2</cp:revision>
  <dcterms:created xsi:type="dcterms:W3CDTF">2026-07-19T15:19:00Z</dcterms:created>
  <dcterms:modified xsi:type="dcterms:W3CDTF">2026-07-19T17:03:00Z</dcterms:modified>
</cp:coreProperties>
</file>