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14ba07e00e2f892b812ef356a87cebb8cbb693"/>
    <w:p>
      <w:pPr>
        <w:pStyle w:val="Heading1"/>
      </w:pPr>
      <w:r>
        <w:t xml:space="preserve">Output-Specific Operational Fidelity in Endogenous Vertiport Charging-Load Models</w:t>
      </w:r>
    </w:p>
    <w:p>
      <w:pPr>
        <w:pStyle w:val="FirstParagraph"/>
      </w:pPr>
      <w:r>
        <w:t xml:space="preserve">Chuming Hu</w:t>
      </w:r>
    </w:p>
    <w:p>
      <w:pPr>
        <w:pStyle w:val="BodyText"/>
      </w:pPr>
      <w:r>
        <w:rPr>
          <w:i/>
          <w:iCs/>
        </w:rPr>
        <w:t xml:space="preserve">Manuscript prepared for Transportation Research Part C: Emerging Technologies</w:t>
      </w:r>
    </w:p>
    <w:bookmarkStart w:id="9" w:name="highlights"/>
    <w:p>
      <w:pPr>
        <w:pStyle w:val="Heading2"/>
      </w:pPr>
      <w:r>
        <w:t xml:space="preserve">Highlights</w:t>
      </w:r>
    </w:p>
    <w:p>
      <w:pPr>
        <w:pStyle w:val="Compact"/>
        <w:numPr>
          <w:ilvl w:val="0"/>
          <w:numId w:val="1001"/>
        </w:numPr>
      </w:pPr>
      <w:r>
        <w:t xml:space="preserve">Five nested operational models separate passenger batching, finite fleet movement, state-of-charge feasibility, and finite charger competition.</w:t>
      </w:r>
    </w:p>
    <w:p>
      <w:pPr>
        <w:pStyle w:val="Compact"/>
        <w:numPr>
          <w:ilvl w:val="0"/>
          <w:numId w:val="1001"/>
        </w:numPr>
      </w:pPr>
      <w:r>
        <w:t xml:space="preserve">Under pre-registered 5% energy and 10% power criteria, F3 is sufficient for energy planning, while F4 is required for time-resolved power.</w:t>
      </w:r>
    </w:p>
    <w:p>
      <w:pPr>
        <w:pStyle w:val="Compact"/>
        <w:numPr>
          <w:ilvl w:val="0"/>
          <w:numId w:val="1001"/>
        </w:numPr>
      </w:pPr>
      <w:r>
        <w:t xml:space="preserve">Fidelity error grows most strongly when high demand coincides with scarce charging resources.</w:t>
      </w:r>
    </w:p>
    <w:p>
      <w:pPr>
        <w:pStyle w:val="Compact"/>
        <w:numPr>
          <w:ilvl w:val="0"/>
          <w:numId w:val="1001"/>
        </w:numPr>
      </w:pPr>
      <w:r>
        <w:t xml:space="preserve">Run-level peaks differ from the mean load-curve peak by 340–641 kW, so averaging trajectories understates capacity exposure.</w:t>
      </w:r>
    </w:p>
    <w:bookmarkEnd w:id="9"/>
    <w:bookmarkStart w:id="10" w:name="abstract"/>
    <w:p>
      <w:pPr>
        <w:pStyle w:val="Heading2"/>
      </w:pPr>
      <w:r>
        <w:t xml:space="preserve">Abstract</w:t>
      </w:r>
    </w:p>
    <w:p>
      <w:pPr>
        <w:pStyle w:val="FirstParagraph"/>
      </w:pPr>
      <w:r>
        <w:t xml:space="preserve">Urban air mobility studies increasingly couple passenger demand, aircraft operations, battery state, and charging resources, but model fidelity is usually chosen by convention rather than by an explicit output requirement. This paper formalizes a nested-model audit for selecting operational detail in endogenous vertiport charging-load models. A one-minute stochastic simulator represents four demand-zone vertiports serving one airport, with five nested representations: F0 passenger-to-energy conversion, F1 queue-triggered flight generation, F2 finite fleet circulation, F3 continuous state-of-charge feasibility, and F4 finite physical chargers. All models share the same random inputs and are compared against frozen, pre-registered error tolerances using the upper endpoint of paired 95% confidence intervals. Across four anchor scenarios, F3 passes the energy-planning criteria: the upper confidence bound of total-energy error is 0.000%–4.539%, and nodal energy-share L1 distance is 0.0095–0.0706. F2 fails both criteria, showing that state-of-charge, reserve, and task-feasibility mechanisms cannot be removed for energy planning. No simplified layer passes the power-trajectory criteria; F3 curve L2 error reaches 16.14%–40.75%, and its peak error under high demand with tight charging reaches 52.50%. F4 is therefore the minimum sufficient layer for peak, tail-power, and time-resolved load analysis. The minimum sufficient fidelity is output-specific rather than a property of the model hierarchy itself.</w:t>
      </w:r>
    </w:p>
    <w:p>
      <w:pPr>
        <w:pStyle w:val="BodyText"/>
      </w:pPr>
      <w:r>
        <w:rPr>
          <w:b/>
          <w:bCs/>
        </w:rPr>
        <w:t xml:space="preserve">Keywords</w:t>
      </w:r>
      <w:r>
        <w:t xml:space="preserve">: urban air mobility; eVTOL; vertiport charging; endogenous load; operational fidelity; state of charge; model aggregation</w:t>
      </w:r>
    </w:p>
    <w:bookmarkEnd w:id="10"/>
    <w:bookmarkStart w:id="11" w:name="introduction"/>
    <w:p>
      <w:pPr>
        <w:pStyle w:val="Heading2"/>
      </w:pPr>
      <w:r>
        <w:t xml:space="preserve">1. Introduction</w:t>
      </w:r>
    </w:p>
    <w:p>
      <w:pPr>
        <w:pStyle w:val="FirstParagraph"/>
      </w:pPr>
      <w:r>
        <w:t xml:space="preserve">Vertiport charging demand is generated by operations. Passenger arrivals must accumulate into serviceable batches, aircraft must be located at the required node with sufficient state of charge, charging rules must activate, and a physical charger must be free. These coupled states determine when and where power is drawn. A load profile built directly from passenger counts or scheduled flight energy can therefore preserve aggregate energy while misplacing power in time, a distinction that matters for infrastructure sizing and grid integration.</w:t>
      </w:r>
    </w:p>
    <w:p>
      <w:pPr>
        <w:pStyle w:val="BodyText"/>
      </w:pPr>
      <w:r>
        <w:t xml:space="preserve">The model-selection question is not which representation is most realistic in general, but which mechanisms are required for a stated output. Total energy, nodal energy shares, peak demand, tail power, ramp rates, and minute-level load trajectories are distinct planning objects. An energy planner may tolerate coarse operational detail, while a capacity or grid study may need physical concurrency and queueing.</w:t>
      </w:r>
    </w:p>
    <w:p>
      <w:pPr>
        <w:pStyle w:val="BodyText"/>
      </w:pPr>
      <w:r>
        <w:t xml:space="preserve">Recent UAM research already couples operations with charging. Mission-based studies estimate charging demand from schedules, routing, and state-of-charge-dependent charging behavior [1]. Integrated simulators represent passenger processing, aircraft states, energy, and charging [2,3], and power-system studies connect dispatch and charging windows to grid optimization [4]. These works establish that operational coupling matters; the remaining gap is a systematic procedure for deciding how much coupling is sufficient for a specified output.</w:t>
      </w:r>
    </w:p>
    <w:p>
      <w:pPr>
        <w:pStyle w:val="BodyText"/>
      </w:pPr>
      <w:r>
        <w:t xml:space="preserve">Electric-vehicle aggregation studies show that simplified representations can be accurate for some outputs and inaccurate for others [5,6]. The same question arises in vertiport charging, but the reviewed UAM literature provides limited evidence on an equivalent operational fidelity audit. The present paper addresses this gap with a nested-model experiment. It contributes a pre-registered protocol for identifying the minimum sufficient operational layer, and it applies that protocol to an airport-access vertiport network.</w:t>
      </w:r>
    </w:p>
    <w:bookmarkEnd w:id="11"/>
    <w:bookmarkStart w:id="15" w:name="related-work"/>
    <w:p>
      <w:pPr>
        <w:pStyle w:val="Heading2"/>
      </w:pPr>
      <w:r>
        <w:t xml:space="preserve">2. Related Work</w:t>
      </w:r>
    </w:p>
    <w:bookmarkStart w:id="12" w:name="energy-and-charging-representations"/>
    <w:p>
      <w:pPr>
        <w:pStyle w:val="Heading3"/>
      </w:pPr>
      <w:r>
        <w:t xml:space="preserve">2.1 Energy and charging representations</w:t>
      </w:r>
    </w:p>
    <w:p>
      <w:pPr>
        <w:pStyle w:val="FirstParagraph"/>
      </w:pPr>
      <w:r>
        <w:t xml:space="preserve">Aircraft energy models determine the energy that must eventually be replenished. Battery-powered urban aircraft can be energy efficient for appropriate missions, but estimates are sensitive to design, flight phase, range, payload, and reserve assumptions [7]. This paper uses a transparent reduced-form mission-energy model calibrated from that evidence, rather than a manufacturer-certified specification. Passenger and empty flights have separate linear energy-distance relations, and an alternative lower-energy mapping is retained as a boundary scenario.</w:t>
      </w:r>
    </w:p>
    <w:p>
      <w:pPr>
        <w:pStyle w:val="BodyText"/>
      </w:pPr>
      <w:r>
        <w:t xml:space="preserve">Charging-demand studies translate mission energy and schedules into station load. Taye et al. [1] show that schedules, state-of-charge-dependent charging, route distance, and vertiport location shape energy and power demand. When flights are prescribed, however, variability from stochastic queue formation and vehicle circulation is partly fixed upstream. The present model treats flight generation as an endogenous response to passenger accumulation and waiting.</w:t>
      </w:r>
    </w:p>
    <w:bookmarkEnd w:id="12"/>
    <w:bookmarkStart w:id="13" w:name="X119efe95057f32dd8c144fc9be19f7494d7ea0e"/>
    <w:p>
      <w:pPr>
        <w:pStyle w:val="Heading3"/>
      </w:pPr>
      <w:r>
        <w:t xml:space="preserve">2.2 Integrated UAM operations and power systems</w:t>
      </w:r>
    </w:p>
    <w:p>
      <w:pPr>
        <w:pStyle w:val="FirstParagraph"/>
      </w:pPr>
      <w:r>
        <w:t xml:space="preserve">System-level studies establish the importance of energy constraints, fleet management, and infrastructure capacity in UAM operations [8,9]. Microsimulation and integrated platforms further represent passenger service, aircraft movement, and energy on comparable time scales [2,3,10]. These platforms provide the operational basis for endogenous charging demand.</w:t>
      </w:r>
    </w:p>
    <w:p>
      <w:pPr>
        <w:pStyle w:val="BodyText"/>
      </w:pPr>
      <w:r>
        <w:t xml:space="preserve">Wu et al. [4] connect UAM dispatch and feasible charging windows to power-system optimization. Their work is the closest direct precedent and prevents a claim that coupling operations, state of charge, and the grid is new by itself. The distinction here is narrower: stochastic queues trigger flights during operation, finite chargers create uncontrolled competition, and the research question concerns representation sufficiency rather than smart-charging welfare.</w:t>
      </w:r>
    </w:p>
    <w:bookmarkEnd w:id="13"/>
    <w:bookmarkStart w:id="14" w:name="model-detail-and-aggregation-error"/>
    <w:p>
      <w:pPr>
        <w:pStyle w:val="Heading3"/>
      </w:pPr>
      <w:r>
        <w:t xml:space="preserve">2.3 Model detail and aggregation error</w:t>
      </w:r>
    </w:p>
    <w:p>
      <w:pPr>
        <w:pStyle w:val="FirstParagraph"/>
      </w:pPr>
      <w:r>
        <w:t xml:space="preserve">Model-detail decisions are rarely neutral. In energy-system modeling, added complexity does not always improve accuracy [6,11,12], and parsimonious representations can be sufficient for large-scale questions [13]. Sensitivity-based studies in building energy simulation also ask which simplifications are acceptable [14]. For electric vehicles, limited information can preserve some aggregate outcomes while producing large errors for others [5]. The present study transfers this output-specific assessment to vertiport charging. The most detailed tested representation is not treated as ground truth; it is a frozen mechanism reference against which simpler nested layers are evaluated.</w:t>
      </w:r>
    </w:p>
    <w:bookmarkEnd w:id="14"/>
    <w:bookmarkEnd w:id="15"/>
    <w:bookmarkStart w:id="23" w:name="methodology"/>
    <w:p>
      <w:pPr>
        <w:pStyle w:val="Heading2"/>
      </w:pPr>
      <w:r>
        <w:t xml:space="preserve">3. Methodology</w:t>
      </w:r>
    </w:p>
    <w:bookmarkStart w:id="16" w:name="network-and-operating-boundary"/>
    <w:p>
      <w:pPr>
        <w:pStyle w:val="Heading3"/>
      </w:pPr>
      <w:r>
        <w:t xml:space="preserve">3.1 Network and operating boundary</w:t>
      </w:r>
    </w:p>
    <w:p>
      <w:pPr>
        <w:pStyle w:val="FirstParagraph"/>
      </w:pPr>
      <w:r>
        <w:t xml:space="preserve">The network contains four abstract demand-zone vertiports,</w:t>
      </w:r>
      <w:r>
        <w:t xml:space="preserve"> </w:t>
      </w:r>
      <m:oMath>
        <m:sSub>
          <m:e>
            <m:r>
              <m:t>D</m:t>
            </m:r>
          </m:e>
          <m:sub>
            <m:r>
              <m:t>1</m:t>
            </m:r>
          </m:sub>
        </m:sSub>
      </m:oMath>
      <w:r>
        <w:t xml:space="preserve">–</w:t>
      </w:r>
      <m:oMath>
        <m:sSub>
          <m:e>
            <m:r>
              <m:t>D</m:t>
            </m:r>
          </m:e>
          <m:sub>
            <m:r>
              <m:t>4</m:t>
            </m:r>
          </m:sub>
        </m:sSub>
      </m:oMath>
      <w:r>
        <w:t xml:space="preserve">, and one airport vertiport,</w:t>
      </w:r>
      <w:r>
        <w:t xml:space="preserve"> </w:t>
      </w:r>
      <m:oMath>
        <m:r>
          <m:t>A</m:t>
        </m:r>
      </m:oMath>
      <w:r>
        <w:t xml:space="preserve">. Passenger flights are allowed only from</w:t>
      </w:r>
      <w:r>
        <w:t xml:space="preserve"> </w:t>
      </w:r>
      <m:oMath>
        <m:sSub>
          <m:e>
            <m:r>
              <m:t>D</m:t>
            </m:r>
          </m:e>
          <m:sub>
            <m:r>
              <m:t>i</m:t>
            </m:r>
          </m:sub>
        </m:sSub>
      </m:oMath>
      <w:r>
        <w:t xml:space="preserve"> </w:t>
      </w:r>
      <w:r>
        <w:t xml:space="preserve">to</w:t>
      </w:r>
      <w:r>
        <w:t xml:space="preserve"> </w:t>
      </w:r>
      <m:oMath>
        <m:r>
          <m:t>A</m:t>
        </m:r>
      </m:oMath>
      <w:r>
        <w:t xml:space="preserve">. Empty flights are allowed only from</w:t>
      </w:r>
      <w:r>
        <w:t xml:space="preserve"> </w:t>
      </w:r>
      <m:oMath>
        <m:r>
          <m:t>A</m:t>
        </m:r>
      </m:oMath>
      <w:r>
        <w:t xml:space="preserve"> </w:t>
      </w:r>
      <w:r>
        <w:t xml:space="preserve">to</w:t>
      </w:r>
      <w:r>
        <w:t xml:space="preserve"> </w:t>
      </w:r>
      <m:oMath>
        <m:sSub>
          <m:e>
            <m:r>
              <m:t>D</m:t>
            </m:r>
          </m:e>
          <m:sub>
            <m:r>
              <m:t>i</m:t>
            </m:r>
          </m:sub>
        </m:sSub>
      </m:oMath>
      <w:r>
        <w:t xml:space="preserve"> </w:t>
      </w:r>
      <w:r>
        <w:t xml:space="preserve">and only when a demand zone has a positive triggered-service coverage deficit. Airport departures, inter-zone trips, proactive rebalancing, and post-window recovery repositioning are excluded. This directional structure isolates airport-access service and makes service-required empty returns explicit.</w:t>
      </w:r>
    </w:p>
    <w:p>
      <w:pPr>
        <w:pStyle w:val="BodyText"/>
      </w:pPr>
      <w:r>
        <w:t xml:space="preserve">Let</w:t>
      </w:r>
      <w:r>
        <w:t xml:space="preserve"> </w:t>
      </w:r>
      <m:oMath>
        <m:r>
          <m:t>V</m:t>
        </m:r>
        <m:r>
          <m:rPr>
            <m:sty m:val="p"/>
          </m:rPr>
          <m:t>=</m:t>
        </m:r>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sSub>
          <m:e>
            <m:r>
              <m:t>D</m:t>
            </m:r>
          </m:e>
          <m:sub>
            <m:r>
              <m:t>4</m:t>
            </m:r>
          </m:sub>
        </m:sSub>
        <m:r>
          <m:rPr>
            <m:sty m:val="p"/>
          </m:rPr>
          <m:t>,</m:t>
        </m:r>
        <m:r>
          <m:t>A</m:t>
        </m:r>
        <m:r>
          <m:rPr>
            <m:sty m:val="p"/>
          </m:rPr>
          <m:t>}</m:t>
        </m:r>
      </m:oMath>
      <w:r>
        <w:t xml:space="preserve">. If</w:t>
      </w:r>
      <w:r>
        <w:t xml:space="preserve"> </w:t>
      </w:r>
      <m:oMath>
        <m:sSub>
          <m:e>
            <m:r>
              <m:t>P</m:t>
            </m:r>
          </m:e>
          <m:sub>
            <m:r>
              <m:t>v</m:t>
            </m:r>
          </m:sub>
        </m:sSub>
        <m:r>
          <m:rPr>
            <m:sty m:val="p"/>
          </m:rPr>
          <m:t>(</m:t>
        </m:r>
        <m:r>
          <m:t>t</m:t>
        </m:r>
        <m:r>
          <m:rPr>
            <m:sty m:val="p"/>
          </m:rPr>
          <m:t>)</m:t>
        </m:r>
      </m:oMath>
      <w:r>
        <w:t xml:space="preserve"> </w:t>
      </w:r>
      <w:r>
        <w:t xml:space="preserve">is grid-side charging power at node</w:t>
      </w:r>
      <w:r>
        <w:t xml:space="preserve"> </w:t>
      </w:r>
      <m:oMath>
        <m:r>
          <m:t>v</m:t>
        </m:r>
      </m:oMath>
      <w:r>
        <w:t xml:space="preserve">, network power is</w:t>
      </w:r>
    </w:p>
    <w:p>
      <w:pPr>
        <w:pStyle w:val="BodyText"/>
      </w:pPr>
      <m:oMathPara>
        <m:oMathParaPr>
          <m:jc m:val="center"/>
        </m:oMathParaPr>
        <m:oMath>
          <m:sSub>
            <m:e>
              <m:r>
                <m:t>P</m:t>
              </m:r>
            </m:e>
            <m:sub>
              <m:r>
                <m:rPr>
                  <m:sty m:val="p"/>
                </m:rPr>
                <m:t>n</m:t>
              </m:r>
              <m:r>
                <m:rPr>
                  <m:sty m:val="p"/>
                </m:rPr>
                <m:t>e</m:t>
              </m:r>
              <m:r>
                <m:rPr>
                  <m:sty m:val="p"/>
                </m:rPr>
                <m:t>t</m:t>
              </m:r>
            </m:sub>
          </m:sSub>
          <m:r>
            <m:rPr>
              <m:sty m:val="p"/>
            </m:rPr>
            <m:t>(</m:t>
          </m:r>
          <m:r>
            <m:t>t</m:t>
          </m:r>
          <m:r>
            <m:rPr>
              <m:sty m:val="p"/>
            </m:rPr>
            <m:t>)</m:t>
          </m:r>
          <m:r>
            <m:rPr>
              <m:sty m:val="p"/>
            </m:rPr>
            <m:t>=</m:t>
          </m:r>
          <m:nary>
            <m:naryPr>
              <m:chr m:val="∑"/>
              <m:limLoc m:val="undOvr"/>
              <m:subHide m:val="off"/>
              <m:supHide m:val="on"/>
            </m:naryPr>
            <m:sub>
              <m:r>
                <m:t>v</m:t>
              </m:r>
              <m:r>
                <m:rPr>
                  <m:sty m:val="p"/>
                </m:rPr>
                <m:t>∈</m:t>
              </m:r>
              <m:r>
                <m:t>V</m:t>
              </m:r>
            </m:sub>
            <m:sup>
              <m:r>
                <m:t>​</m:t>
              </m:r>
            </m:sup>
            <m:e>
              <m:sSub>
                <m:e>
                  <m:r>
                    <m:t>P</m:t>
                  </m:r>
                </m:e>
                <m:sub>
                  <m:r>
                    <m:t>v</m:t>
                  </m:r>
                </m:sub>
              </m:sSub>
            </m:e>
          </m:nary>
          <m:r>
            <m:rPr>
              <m:sty m:val="p"/>
            </m:rPr>
            <m:t>(</m:t>
          </m:r>
          <m:r>
            <m:t>t</m:t>
          </m:r>
          <m:r>
            <m:rPr>
              <m:sty m:val="p"/>
            </m:rPr>
            <m:t>)</m:t>
          </m:r>
          <m:r>
            <m:rPr>
              <m:sty m:val="p"/>
            </m:rPr>
            <m:t>.</m:t>
          </m:r>
        </m:oMath>
      </m:oMathPara>
    </w:p>
    <w:p>
      <w:pPr>
        <w:pStyle w:val="FirstParagraph"/>
      </w:pPr>
      <w:r>
        <w:t xml:space="preserve">The modeled output is a state-dependent mapping</w:t>
      </w:r>
    </w:p>
    <w:p>
      <w:pPr>
        <w:pStyle w:val="BodyText"/>
      </w:pPr>
      <m:oMathPara>
        <m:oMathParaPr>
          <m:jc m:val="center"/>
        </m:oMathParaPr>
        <m:oMath>
          <m:r>
            <m:t>P</m:t>
          </m:r>
          <m:r>
            <m:rPr>
              <m:sty m:val="p"/>
            </m:rPr>
            <m:t>(</m:t>
          </m:r>
          <m:r>
            <m:t>t</m:t>
          </m:r>
          <m:r>
            <m:rPr>
              <m:sty m:val="p"/>
            </m:rPr>
            <m:t>)</m:t>
          </m:r>
          <m:r>
            <m:rPr>
              <m:sty m:val="p"/>
            </m:rPr>
            <m:t>=</m:t>
          </m:r>
          <m:r>
            <m:t>G</m:t>
          </m:r>
          <m:d>
            <m:dPr>
              <m:begChr m:val="("/>
              <m:sepChr m:val=""/>
              <m:endChr m:val=")"/>
              <m:grow/>
            </m:dPr>
            <m:e>
              <m:r>
                <m:rPr>
                  <m:nor/>
                  <m:sty m:val="p"/>
                </m:rPr>
                <m:t>arrivals</m:t>
              </m:r>
              <m:r>
                <m:rPr>
                  <m:sty m:val="p"/>
                </m:rPr>
                <m:t>,</m:t>
              </m:r>
              <m:r>
                <m:rPr>
                  <m:nor/>
                  <m:sty m:val="p"/>
                </m:rPr>
                <m:t>queues</m:t>
              </m:r>
              <m:r>
                <m:rPr>
                  <m:sty m:val="p"/>
                </m:rPr>
                <m:t>,</m:t>
              </m:r>
              <m:r>
                <m:rPr>
                  <m:nor/>
                  <m:sty m:val="p"/>
                </m:rPr>
                <m:t>aircraft states</m:t>
              </m:r>
              <m:r>
                <m:rPr>
                  <m:sty m:val="p"/>
                </m:rPr>
                <m:t>,</m:t>
              </m:r>
              <m:r>
                <m:rPr>
                  <m:nor/>
                  <m:sty m:val="p"/>
                </m:rPr>
                <m:t>SOC</m:t>
              </m:r>
              <m:r>
                <m:rPr>
                  <m:sty m:val="p"/>
                </m:rPr>
                <m:t>,</m:t>
              </m:r>
              <m:r>
                <m:rPr>
                  <m:nor/>
                  <m:sty m:val="p"/>
                </m:rPr>
                <m:t>dispatch rules</m:t>
              </m:r>
              <m:r>
                <m:rPr>
                  <m:sty m:val="p"/>
                </m:rPr>
                <m:t>,</m:t>
              </m:r>
              <m:r>
                <m:rPr>
                  <m:nor/>
                  <m:sty m:val="p"/>
                </m:rPr>
                <m:t>charger states</m:t>
              </m:r>
            </m:e>
          </m:d>
          <m:r>
            <m:rPr>
              <m:sty m:val="p"/>
            </m:rPr>
            <m:t>.</m:t>
          </m:r>
        </m:oMath>
      </m:oMathPara>
    </w:p>
    <w:p>
      <w:pPr>
        <w:pStyle w:val="FirstParagraph"/>
      </w:pPr>
      <w:r>
        <w:t xml:space="preserve">Demand is exogenous, but the charging trajectory is endogenous because intermediate states evolve within the simulation.</w:t>
      </w:r>
    </w:p>
    <w:bookmarkEnd w:id="16"/>
    <w:bookmarkStart w:id="17" w:name="Xbc8e91bb7da87691293c7c1f348bb5912b19d63"/>
    <w:p>
      <w:pPr>
        <w:pStyle w:val="Heading3"/>
      </w:pPr>
      <w:r>
        <w:t xml:space="preserve">3.2 Passenger arrivals and queue-triggered flights</w:t>
      </w:r>
    </w:p>
    <w:p>
      <w:pPr>
        <w:pStyle w:val="FirstParagraph"/>
      </w:pPr>
      <w:r>
        <w:t xml:space="preserve">Network arrivals follow a stationary Poisson process during warm-up and formal measurement. The total rate is</w:t>
      </w:r>
      <w:r>
        <w:t xml:space="preserve"> </w:t>
      </w:r>
      <m:oMath>
        <m:r>
          <m:t>η</m:t>
        </m:r>
        <m:sSub>
          <m:e>
            <m:r>
              <m:t>λ</m:t>
            </m:r>
          </m:e>
          <m:sub>
            <m:r>
              <m:rPr>
                <m:sty m:val="p"/>
              </m:rPr>
              <m:t>r</m:t>
            </m:r>
            <m:r>
              <m:rPr>
                <m:sty m:val="p"/>
              </m:rPr>
              <m:t>e</m:t>
            </m:r>
            <m:r>
              <m:rPr>
                <m:sty m:val="p"/>
              </m:rPr>
              <m:t>f</m:t>
            </m:r>
          </m:sub>
        </m:sSub>
      </m:oMath>
      <w:r>
        <w:t xml:space="preserve">, and each arrival is assigned to zone</w:t>
      </w:r>
      <w:r>
        <w:t xml:space="preserve"> </w:t>
      </w:r>
      <m:oMath>
        <m:r>
          <m:t>i</m:t>
        </m:r>
      </m:oMath>
      <w:r>
        <w:t xml:space="preserve"> </w:t>
      </w:r>
      <w:r>
        <w:t xml:space="preserve">with probability</w:t>
      </w:r>
      <w:r>
        <w:t xml:space="preserve"> </w:t>
      </w:r>
      <m:oMath>
        <m:sSub>
          <m:e>
            <m:r>
              <m:t>α</m:t>
            </m:r>
          </m:e>
          <m:sub>
            <m:r>
              <m:t>i</m:t>
            </m:r>
          </m:sub>
        </m:sSub>
      </m:oMath>
      <w:r>
        <w:t xml:space="preserve">:</w:t>
      </w:r>
    </w:p>
    <w:p>
      <w:pPr>
        <w:pStyle w:val="BodyText"/>
      </w:pPr>
      <m:oMathPara>
        <m:oMathParaPr>
          <m:jc m:val="center"/>
        </m:oMathParaPr>
        <m:oMath>
          <m:sSub>
            <m:e>
              <m:r>
                <m:t>λ</m:t>
              </m:r>
            </m:e>
            <m:sub>
              <m:r>
                <m:t>i</m:t>
              </m:r>
            </m:sub>
          </m:sSub>
          <m:r>
            <m:rPr>
              <m:sty m:val="p"/>
            </m:rPr>
            <m:t>=</m:t>
          </m:r>
          <m:r>
            <m:t>η</m:t>
          </m:r>
          <m:r>
            <m:t> </m:t>
          </m:r>
          <m:sSub>
            <m:e>
              <m:r>
                <m:t>α</m:t>
              </m:r>
            </m:e>
            <m:sub>
              <m:r>
                <m:t>i</m:t>
              </m:r>
            </m:sub>
          </m:sSub>
          <m:r>
            <m:t> </m:t>
          </m:r>
          <m:sSub>
            <m:e>
              <m:r>
                <m:t>λ</m:t>
              </m:r>
            </m:e>
            <m:sub>
              <m:r>
                <m:rPr>
                  <m:sty m:val="p"/>
                </m:rPr>
                <m:t>r</m:t>
              </m:r>
              <m:r>
                <m:rPr>
                  <m:sty m:val="p"/>
                </m:rPr>
                <m:t>e</m:t>
              </m:r>
              <m:r>
                <m:rPr>
                  <m:sty m:val="p"/>
                </m:rPr>
                <m:t>f</m:t>
              </m:r>
            </m:sub>
          </m:sSub>
          <m:r>
            <m:rPr>
              <m:sty m:val="p"/>
            </m:rPr>
            <m:t>,</m:t>
          </m:r>
          <m:r>
            <m:t>  </m:t>
          </m:r>
          <m:nary>
            <m:naryPr>
              <m:chr m:val="∑"/>
              <m:limLoc m:val="undOvr"/>
              <m:subHide m:val="off"/>
              <m:supHide m:val="on"/>
            </m:naryPr>
            <m:sub>
              <m:r>
                <m:t>i</m:t>
              </m:r>
            </m:sub>
            <m:sup>
              <m:r>
                <m:t>​</m:t>
              </m:r>
            </m:sup>
            <m:e>
              <m:sSub>
                <m:e>
                  <m:r>
                    <m:t>α</m:t>
                  </m:r>
                </m:e>
                <m:sub>
                  <m:r>
                    <m:t>i</m:t>
                  </m:r>
                </m:sub>
              </m:sSub>
            </m:e>
          </m:nary>
          <m:r>
            <m:rPr>
              <m:sty m:val="p"/>
            </m:rPr>
            <m:t>=</m:t>
          </m:r>
          <m:r>
            <m:t>1</m:t>
          </m:r>
          <m:r>
            <m:rPr>
              <m:sty m:val="p"/>
            </m:rPr>
            <m:t>.</m:t>
          </m:r>
        </m:oMath>
      </m:oMathPara>
    </w:p>
    <w:p>
      <w:pPr>
        <w:pStyle w:val="FirstParagraph"/>
      </w:pPr>
      <w:r>
        <w:t xml:space="preserve">The reference rate is calibrated once on the baseline network as</w:t>
      </w:r>
    </w:p>
    <w:p>
      <w:pPr>
        <w:pStyle w:val="BodyText"/>
      </w:pPr>
      <m:oMathPara>
        <m:oMathParaPr>
          <m:jc m:val="center"/>
        </m:oMathParaPr>
        <m:oMath>
          <m:sSub>
            <m:e>
              <m:r>
                <m:t>λ</m:t>
              </m:r>
            </m:e>
            <m:sub>
              <m:r>
                <m:rPr>
                  <m:sty m:val="p"/>
                </m:rPr>
                <m:t>r</m:t>
              </m:r>
              <m:r>
                <m:rPr>
                  <m:sty m:val="p"/>
                </m:rPr>
                <m:t>e</m:t>
              </m:r>
              <m:r>
                <m:rPr>
                  <m:sty m:val="p"/>
                </m:rPr>
                <m:t>f</m:t>
              </m:r>
            </m:sub>
          </m:sSub>
          <m:r>
            <m:rPr>
              <m:sty m:val="p"/>
            </m:rPr>
            <m:t>=</m:t>
          </m:r>
          <m:sSub>
            <m:e>
              <m:r>
                <m:t>ρ</m:t>
              </m:r>
            </m:e>
            <m:sub>
              <m:r>
                <m:rPr>
                  <m:sty m:val="p"/>
                </m:rPr>
                <m:t>r</m:t>
              </m:r>
              <m:r>
                <m:rPr>
                  <m:sty m:val="p"/>
                </m:rPr>
                <m:t>e</m:t>
              </m:r>
              <m:r>
                <m:rPr>
                  <m:sty m:val="p"/>
                </m:rPr>
                <m:t>f</m:t>
              </m:r>
            </m:sub>
          </m:sSub>
          <m:f>
            <m:fPr>
              <m:type m:val="bar"/>
            </m:fPr>
            <m:num>
              <m:r>
                <m:t>60</m:t>
              </m:r>
              <m:r>
                <m:t>M</m:t>
              </m:r>
              <m:r>
                <m:t>K</m:t>
              </m:r>
            </m:num>
            <m:den>
              <m:sSub>
                <m:e>
                  <m:acc>
                    <m:accPr>
                      <m:chr m:val="‾"/>
                    </m:accPr>
                    <m:e>
                      <m:r>
                        <m:t>τ</m:t>
                      </m:r>
                    </m:e>
                  </m:acc>
                </m:e>
                <m:sub>
                  <m:r>
                    <m:rPr>
                      <m:sty m:val="p"/>
                    </m:rPr>
                    <m:t>c</m:t>
                  </m:r>
                  <m:r>
                    <m:rPr>
                      <m:sty m:val="p"/>
                    </m:rPr>
                    <m:t>y</m:t>
                  </m:r>
                  <m:r>
                    <m:rPr>
                      <m:sty m:val="p"/>
                    </m:rPr>
                    <m:t>c</m:t>
                  </m:r>
                  <m:r>
                    <m:rPr>
                      <m:sty m:val="p"/>
                    </m:rPr>
                    <m:t>l</m:t>
                  </m:r>
                  <m:r>
                    <m:rPr>
                      <m:sty m:val="p"/>
                    </m:rPr>
                    <m:t>e</m:t>
                  </m:r>
                </m:sub>
              </m:sSub>
            </m:den>
          </m:f>
          <m:r>
            <m:rPr>
              <m:sty m:val="p"/>
            </m:rPr>
            <m:t>,</m:t>
          </m:r>
        </m:oMath>
      </m:oMathPara>
    </w:p>
    <w:p>
      <w:pPr>
        <w:pStyle w:val="FirstParagraph"/>
      </w:pPr>
      <w:r>
        <w:t xml:space="preserve">where</w:t>
      </w:r>
      <w:r>
        <w:t xml:space="preserve"> </w:t>
      </w:r>
      <m:oMath>
        <m:r>
          <m:t>M</m:t>
        </m:r>
      </m:oMath>
      <w:r>
        <w:t xml:space="preserve"> </w:t>
      </w:r>
      <w:r>
        <w:t xml:space="preserve">is the fleet size,</w:t>
      </w:r>
      <w:r>
        <w:t xml:space="preserve"> </w:t>
      </w:r>
      <m:oMath>
        <m:r>
          <m:t>K</m:t>
        </m:r>
      </m:oMath>
      <w:r>
        <w:t xml:space="preserve"> </w:t>
      </w:r>
      <w:r>
        <w:t xml:space="preserve">the seat count,</w:t>
      </w:r>
      <w:r>
        <w:t xml:space="preserve"> </w:t>
      </w:r>
      <m:oMath>
        <m:sSub>
          <m:e>
            <m:acc>
              <m:accPr>
                <m:chr m:val="‾"/>
              </m:accPr>
              <m:e>
                <m:r>
                  <m:t>τ</m:t>
                </m:r>
              </m:e>
            </m:acc>
          </m:e>
          <m:sub>
            <m:r>
              <m:rPr>
                <m:sty m:val="p"/>
              </m:rPr>
              <m:t>c</m:t>
            </m:r>
            <m:r>
              <m:rPr>
                <m:sty m:val="p"/>
              </m:rPr>
              <m:t>y</m:t>
            </m:r>
            <m:r>
              <m:rPr>
                <m:sty m:val="p"/>
              </m:rPr>
              <m:t>c</m:t>
            </m:r>
            <m:r>
              <m:rPr>
                <m:sty m:val="p"/>
              </m:rPr>
              <m:t>l</m:t>
            </m:r>
            <m:r>
              <m:rPr>
                <m:sty m:val="p"/>
              </m:rPr>
              <m:t>e</m:t>
            </m:r>
          </m:sub>
        </m:sSub>
      </m:oMath>
      <w:r>
        <w:t xml:space="preserve"> </w:t>
      </w:r>
      <w:r>
        <w:t xml:space="preserve">the weighted ideal cycle duration, and</w:t>
      </w:r>
      <w:r>
        <w:t xml:space="preserve"> </w:t>
      </w:r>
      <m:oMath>
        <m:sSub>
          <m:e>
            <m:r>
              <m:t>ρ</m:t>
            </m:r>
          </m:e>
          <m:sub>
            <m:r>
              <m:rPr>
                <m:sty m:val="p"/>
              </m:rPr>
              <m:t>r</m:t>
            </m:r>
            <m:r>
              <m:rPr>
                <m:sty m:val="p"/>
              </m:rPr>
              <m:t>e</m:t>
            </m:r>
            <m:r>
              <m:rPr>
                <m:sty m:val="p"/>
              </m:rPr>
              <m:t>f</m:t>
            </m:r>
          </m:sub>
        </m:sSub>
        <m:r>
          <m:rPr>
            <m:sty m:val="p"/>
          </m:rPr>
          <m:t>=</m:t>
        </m:r>
        <m:r>
          <m:t>0.70</m:t>
        </m:r>
      </m:oMath>
      <w:r>
        <w:t xml:space="preserve"> </w:t>
      </w:r>
      <w:r>
        <w:t xml:space="preserve">the reference utilization. Passengers queue first-come, first-served. A service batch is triggered when either four passengers are available or the head passenger has waited 15 min. Triggering does not guarantee immediate departure: the aircraft must be locally available or returned from the airport, above the task-specific state-of-charge threshold, and clear of turnaround.</w:t>
      </w:r>
    </w:p>
    <w:bookmarkEnd w:id="17"/>
    <w:bookmarkStart w:id="18" w:name="aircraft-states-and-empty-returns"/>
    <w:p>
      <w:pPr>
        <w:pStyle w:val="Heading3"/>
      </w:pPr>
      <w:r>
        <w:t xml:space="preserve">3.3 Aircraft states and empty returns</w:t>
      </w:r>
    </w:p>
    <w:p>
      <w:pPr>
        <w:pStyle w:val="FirstParagraph"/>
      </w:pPr>
      <w:r>
        <w:t xml:space="preserve">Each aircraft retains location, operational state, remaining activity time, and continuous state of charge. States include idle, passenger turnaround, passenger flight, airport turnaround, empty flight, charging queue, and charging. Eight aircraft begin warm-up with two at each demand zone, state of charge 0.85, empty queues, and idle chargers. Local aircraft are assigned first; airport aircraft are dispatched only to zones with positive coverage deficits after accounting for locally serviceable aircraft and empty aircraft already en route.</w:t>
      </w:r>
    </w:p>
    <w:p>
      <w:pPr>
        <w:pStyle w:val="BodyText"/>
      </w:pPr>
      <w:r>
        <w:t xml:space="preserve">Baseline cruise distances are 10, 12.5, 15, and 17.5 km. One-way flight time combines a 4.644 min vertical-transition component with cruise at 241.4 km/h. Turnaround is 6 min at both ends.</w:t>
      </w:r>
    </w:p>
    <w:bookmarkEnd w:id="18"/>
    <w:bookmarkStart w:id="19" w:name="X3e1961e96e5eca3a70b743715f82827e9fb637a"/>
    <w:p>
      <w:pPr>
        <w:pStyle w:val="Heading3"/>
      </w:pPr>
      <w:r>
        <w:t xml:space="preserve">3.4 Flight energy, battery accounting, and dispatch feasibility</w:t>
      </w:r>
    </w:p>
    <w:p>
      <w:pPr>
        <w:pStyle w:val="FirstParagraph"/>
      </w:pPr>
      <w:r>
        <w:t xml:space="preserve">A reduced-form mission-energy model is used instead of a full aerodynamic simulation. For demand zone</w:t>
      </w:r>
      <w:r>
        <w:t xml:space="preserve"> </w:t>
      </w:r>
      <m:oMath>
        <m:r>
          <m:t>i</m:t>
        </m:r>
      </m:oMath>
      <w:r>
        <w:t xml:space="preserve">, passenger-flight and empty-return energy are</w:t>
      </w:r>
    </w:p>
    <w:p>
      <w:pPr>
        <w:pStyle w:val="BodyText"/>
      </w:pPr>
      <m:oMathPara>
        <m:oMathParaPr>
          <m:jc m:val="center"/>
        </m:oMathParaPr>
        <m:oMath>
          <m:sSub>
            <m:e>
              <m:r>
                <m:t>E</m:t>
              </m:r>
            </m:e>
            <m:sub>
              <m:r>
                <m:rPr>
                  <m:sty m:val="p"/>
                </m:rPr>
                <m:t>p</m:t>
              </m:r>
              <m:r>
                <m:rPr>
                  <m:sty m:val="p"/>
                </m:rPr>
                <m:t>a</m:t>
              </m:r>
              <m:r>
                <m:rPr>
                  <m:sty m:val="p"/>
                </m:rPr>
                <m:t>x</m:t>
              </m:r>
              <m:r>
                <m:rPr>
                  <m:sty m:val="p"/>
                </m:rPr>
                <m:t>,</m:t>
              </m:r>
              <m:r>
                <m:t>i</m:t>
              </m:r>
            </m:sub>
          </m:sSub>
          <m:r>
            <m:rPr>
              <m:sty m:val="p"/>
            </m:rPr>
            <m:t>=</m:t>
          </m:r>
          <m:r>
            <m:t>16.5106</m:t>
          </m:r>
          <m:r>
            <m:rPr>
              <m:sty m:val="p"/>
            </m:rPr>
            <m:t>+</m:t>
          </m:r>
          <m:r>
            <m:t>0.43136</m:t>
          </m:r>
          <m:r>
            <m:t> </m:t>
          </m:r>
          <m:sSub>
            <m:e>
              <m:r>
                <m:t>d</m:t>
              </m:r>
            </m:e>
            <m:sub>
              <m:r>
                <m:t>i</m:t>
              </m:r>
            </m:sub>
          </m:sSub>
          <m:r>
            <m:rPr>
              <m:sty m:val="p"/>
            </m:rPr>
            <m:t>,</m:t>
          </m:r>
        </m:oMath>
      </m:oMathPara>
    </w:p>
    <w:p>
      <w:pPr>
        <w:pStyle w:val="FirstParagraph"/>
      </w:pPr>
      <m:oMathPara>
        <m:oMathParaPr>
          <m:jc m:val="center"/>
        </m:oMathParaPr>
        <m:oMath>
          <m:sSub>
            <m:e>
              <m:r>
                <m:t>E</m:t>
              </m:r>
            </m:e>
            <m:sub>
              <m:r>
                <m:rPr>
                  <m:sty m:val="p"/>
                </m:rPr>
                <m:t>e</m:t>
              </m:r>
              <m:r>
                <m:rPr>
                  <m:sty m:val="p"/>
                </m:rPr>
                <m:t>m</m:t>
              </m:r>
              <m:r>
                <m:rPr>
                  <m:sty m:val="p"/>
                </m:rPr>
                <m:t>p</m:t>
              </m:r>
              <m:r>
                <m:rPr>
                  <m:sty m:val="p"/>
                </m:rPr>
                <m:t>t</m:t>
              </m:r>
              <m:r>
                <m:rPr>
                  <m:sty m:val="p"/>
                </m:rPr>
                <m:t>y</m:t>
              </m:r>
              <m:r>
                <m:rPr>
                  <m:sty m:val="p"/>
                </m:rPr>
                <m:t>,</m:t>
              </m:r>
              <m:r>
                <m:t>i</m:t>
              </m:r>
            </m:sub>
          </m:sSub>
          <m:r>
            <m:rPr>
              <m:sty m:val="p"/>
            </m:rPr>
            <m:t>=</m:t>
          </m:r>
          <m:r>
            <m:t>13.4839</m:t>
          </m:r>
          <m:r>
            <m:rPr>
              <m:sty m:val="p"/>
            </m:rPr>
            <m:t>+</m:t>
          </m:r>
          <m:r>
            <m:t>0.35229</m:t>
          </m:r>
          <m:r>
            <m:t> </m:t>
          </m:r>
          <m:sSub>
            <m:e>
              <m:r>
                <m:t>d</m:t>
              </m:r>
            </m:e>
            <m:sub>
              <m:r>
                <m:t>i</m:t>
              </m:r>
            </m:sub>
          </m:sSub>
          <m:r>
            <m:rPr>
              <m:sty m:val="p"/>
            </m:rPr>
            <m:t>,</m:t>
          </m:r>
        </m:oMath>
      </m:oMathPara>
    </w:p>
    <w:p>
      <w:pPr>
        <w:pStyle w:val="FirstParagraph"/>
      </w:pPr>
      <w:r>
        <w:t xml:space="preserve">where</w:t>
      </w:r>
      <w:r>
        <w:t xml:space="preserve"> </w:t>
      </w:r>
      <m:oMath>
        <m:sSub>
          <m:e>
            <m:r>
              <m:t>d</m:t>
            </m:r>
          </m:e>
          <m:sub>
            <m:r>
              <m:t>i</m:t>
            </m:r>
          </m:sub>
        </m:sSub>
      </m:oMath>
      <w:r>
        <w:t xml:space="preserve"> </w:t>
      </w:r>
      <w:r>
        <w:t xml:space="preserve">is horizontal cruise distance in km and energy is in kWh. The intercept captures the distance-independent vertical and transition phases; the slope captures cruise-energy growth. A lower-energy mapping is used in one boundary scenario to test sensitivity to aircraft-performance assumptions.</w:t>
      </w:r>
    </w:p>
    <w:p>
      <w:pPr>
        <w:pStyle w:val="BodyText"/>
      </w:pPr>
      <w:r>
        <w:t xml:space="preserve">Battery state is tracked continuously in energy units. For aircraft</w:t>
      </w:r>
      <w:r>
        <w:t xml:space="preserve"> </w:t>
      </w:r>
      <m:oMath>
        <m:r>
          <m:t>a</m:t>
        </m:r>
      </m:oMath>
      <w:r>
        <w:t xml:space="preserve"> </w:t>
      </w:r>
      <w:r>
        <w:t xml:space="preserve">with usable energy</w:t>
      </w:r>
      <w:r>
        <w:t xml:space="preserve"> </w:t>
      </w:r>
      <m:oMath>
        <m:r>
          <m:t>B</m:t>
        </m:r>
        <m:r>
          <m:rPr>
            <m:sty m:val="p"/>
          </m:rPr>
          <m:t>=</m:t>
        </m:r>
        <m:r>
          <m:t>160</m:t>
        </m:r>
      </m:oMath>
      <w:r>
        <w:t xml:space="preserve"> </w:t>
      </w:r>
      <w:r>
        <w:t xml:space="preserve">kWh,</w:t>
      </w:r>
    </w:p>
    <w:p>
      <w:pPr>
        <w:pStyle w:val="BodyText"/>
      </w:pPr>
      <m:oMathPara>
        <m:oMathParaPr>
          <m:jc m:val="center"/>
        </m:oMathParaPr>
        <m:oMath>
          <m:sSub>
            <m:e>
              <m:r>
                <m:rPr>
                  <m:sty m:val="p"/>
                </m:rPr>
                <m:t>S</m:t>
              </m:r>
              <m:r>
                <m:rPr>
                  <m:sty m:val="p"/>
                </m:rPr>
                <m:t>O</m:t>
              </m:r>
              <m:r>
                <m:rPr>
                  <m:sty m:val="p"/>
                </m:rPr>
                <m:t>C</m:t>
              </m:r>
            </m:e>
            <m:sub>
              <m:r>
                <m:t>a</m:t>
              </m:r>
            </m:sub>
          </m:sSub>
          <m:r>
            <m:rPr>
              <m:sty m:val="p"/>
            </m:rPr>
            <m:t>(</m:t>
          </m:r>
          <m:r>
            <m:t>t</m:t>
          </m:r>
          <m:r>
            <m:rPr>
              <m:sty m:val="p"/>
            </m:rPr>
            <m:t>+</m:t>
          </m:r>
          <m:r>
            <m:t>1</m:t>
          </m:r>
          <m:r>
            <m:rPr>
              <m:sty m:val="p"/>
            </m:rPr>
            <m:t>)</m:t>
          </m:r>
          <m:r>
            <m:rPr>
              <m:sty m:val="p"/>
            </m:rPr>
            <m:t>=</m:t>
          </m:r>
          <m:sSub>
            <m:e>
              <m:r>
                <m:rPr>
                  <m:sty m:val="p"/>
                </m:rPr>
                <m:t>S</m:t>
              </m:r>
              <m:r>
                <m:rPr>
                  <m:sty m:val="p"/>
                </m:rPr>
                <m:t>O</m:t>
              </m:r>
              <m:r>
                <m:rPr>
                  <m:sty m:val="p"/>
                </m:rPr>
                <m:t>C</m:t>
              </m:r>
            </m:e>
            <m:sub>
              <m:r>
                <m:t>a</m:t>
              </m:r>
            </m:sub>
          </m:sSub>
          <m:r>
            <m:rPr>
              <m:sty m:val="p"/>
            </m:rPr>
            <m:t>(</m:t>
          </m:r>
          <m:r>
            <m:t>t</m:t>
          </m:r>
          <m:r>
            <m:rPr>
              <m:sty m:val="p"/>
            </m:rPr>
            <m:t>)</m:t>
          </m:r>
          <m:r>
            <m:rPr>
              <m:sty m:val="p"/>
            </m:rPr>
            <m:t>+</m:t>
          </m:r>
          <m:f>
            <m:fPr>
              <m:type m:val="bar"/>
            </m:fPr>
            <m:num>
              <m:sSub>
                <m:e>
                  <m:r>
                    <m:t>E</m:t>
                  </m:r>
                </m:e>
                <m:sub>
                  <m:r>
                    <m:rPr>
                      <m:sty m:val="p"/>
                    </m:rPr>
                    <m:t>c</m:t>
                  </m:r>
                  <m:r>
                    <m:rPr>
                      <m:sty m:val="p"/>
                    </m:rPr>
                    <m:t>h</m:t>
                  </m:r>
                  <m:r>
                    <m:rPr>
                      <m:sty m:val="p"/>
                    </m:rPr>
                    <m:t>g</m:t>
                  </m:r>
                  <m:r>
                    <m:rPr>
                      <m:sty m:val="p"/>
                    </m:rPr>
                    <m:t>,</m:t>
                  </m:r>
                  <m:r>
                    <m:t>a</m:t>
                  </m:r>
                </m:sub>
              </m:sSub>
              <m:r>
                <m:rPr>
                  <m:sty m:val="p"/>
                </m:rPr>
                <m:t>(</m:t>
              </m:r>
              <m:r>
                <m:t>t</m:t>
              </m:r>
              <m:r>
                <m:rPr>
                  <m:sty m:val="p"/>
                </m:rPr>
                <m:t>)</m:t>
              </m:r>
              <m:r>
                <m:rPr>
                  <m:sty m:val="p"/>
                </m:rPr>
                <m:t>−</m:t>
              </m:r>
              <m:sSub>
                <m:e>
                  <m:r>
                    <m:t>E</m:t>
                  </m:r>
                </m:e>
                <m:sub>
                  <m:r>
                    <m:rPr>
                      <m:sty m:val="p"/>
                    </m:rPr>
                    <m:t>f</m:t>
                  </m:r>
                  <m:r>
                    <m:rPr>
                      <m:sty m:val="p"/>
                    </m:rPr>
                    <m:t>l</m:t>
                  </m:r>
                  <m:r>
                    <m:rPr>
                      <m:sty m:val="p"/>
                    </m:rPr>
                    <m:t>t</m:t>
                  </m:r>
                  <m:r>
                    <m:rPr>
                      <m:sty m:val="p"/>
                    </m:rPr>
                    <m:t>,</m:t>
                  </m:r>
                  <m:r>
                    <m:t>a</m:t>
                  </m:r>
                </m:sub>
              </m:sSub>
              <m:r>
                <m:rPr>
                  <m:sty m:val="p"/>
                </m:rPr>
                <m:t>(</m:t>
              </m:r>
              <m:r>
                <m:t>t</m:t>
              </m:r>
              <m:r>
                <m:rPr>
                  <m:sty m:val="p"/>
                </m:rPr>
                <m:t>)</m:t>
              </m:r>
            </m:num>
            <m:den>
              <m:r>
                <m:t>B</m:t>
              </m:r>
            </m:den>
          </m:f>
          <m:r>
            <m:rPr>
              <m:sty m:val="p"/>
            </m:rPr>
            <m:t>,</m:t>
          </m:r>
        </m:oMath>
      </m:oMathPara>
    </w:p>
    <w:p>
      <w:pPr>
        <w:pStyle w:val="FirstParagraph"/>
      </w:pPr>
      <w:r>
        <w:t xml:space="preserve">where</w:t>
      </w:r>
      <w:r>
        <w:t xml:space="preserve"> </w:t>
      </w:r>
      <m:oMath>
        <m:sSub>
          <m:e>
            <m:r>
              <m:t>E</m:t>
            </m:r>
          </m:e>
          <m:sub>
            <m:r>
              <m:rPr>
                <m:sty m:val="p"/>
              </m:rPr>
              <m:t>c</m:t>
            </m:r>
            <m:r>
              <m:rPr>
                <m:sty m:val="p"/>
              </m:rPr>
              <m:t>h</m:t>
            </m:r>
            <m:r>
              <m:rPr>
                <m:sty m:val="p"/>
              </m:rPr>
              <m:t>g</m:t>
            </m:r>
            <m:r>
              <m:rPr>
                <m:sty m:val="p"/>
              </m:rPr>
              <m:t>,</m:t>
            </m:r>
            <m:r>
              <m:t>a</m:t>
            </m:r>
          </m:sub>
        </m:sSub>
        <m:r>
          <m:rPr>
            <m:sty m:val="p"/>
          </m:rPr>
          <m:t>(</m:t>
        </m:r>
        <m:r>
          <m:t>t</m:t>
        </m:r>
        <m:r>
          <m:rPr>
            <m:sty m:val="p"/>
          </m:rPr>
          <m:t>)</m:t>
        </m:r>
        <m:r>
          <m:rPr>
            <m:sty m:val="p"/>
          </m:rPr>
          <m:t>=</m:t>
        </m:r>
        <m:sSub>
          <m:e>
            <m:r>
              <m:t>η</m:t>
            </m:r>
          </m:e>
          <m:sub>
            <m:r>
              <m:t>c</m:t>
            </m:r>
          </m:sub>
        </m:sSub>
        <m:sSub>
          <m:e>
            <m:r>
              <m:t>P</m:t>
            </m:r>
          </m:e>
          <m:sub>
            <m:r>
              <m:rPr>
                <m:sty m:val="p"/>
              </m:rPr>
              <m:t>g</m:t>
            </m:r>
            <m:r>
              <m:rPr>
                <m:sty m:val="p"/>
              </m:rPr>
              <m:t>r</m:t>
            </m:r>
            <m:r>
              <m:rPr>
                <m:sty m:val="p"/>
              </m:rPr>
              <m:t>i</m:t>
            </m:r>
            <m:r>
              <m:rPr>
                <m:sty m:val="p"/>
              </m:rPr>
              <m:t>d</m:t>
            </m:r>
            <m:r>
              <m:rPr>
                <m:sty m:val="p"/>
              </m:rPr>
              <m:t>,</m:t>
            </m:r>
            <m:r>
              <m:t>a</m:t>
            </m:r>
          </m:sub>
        </m:sSub>
        <m:r>
          <m:rPr>
            <m:sty m:val="p"/>
          </m:rPr>
          <m:t>(</m:t>
        </m:r>
        <m:r>
          <m:t>t</m:t>
        </m:r>
        <m:r>
          <m:rPr>
            <m:sty m:val="p"/>
          </m:rPr>
          <m:t>)</m:t>
        </m:r>
        <m:r>
          <m:rPr>
            <m:sty m:val="p"/>
          </m:rPr>
          <m:t>Δ</m:t>
        </m:r>
        <m:r>
          <m:t>t</m:t>
        </m:r>
      </m:oMath>
      <w:r>
        <w:t xml:space="preserve"> </w:t>
      </w:r>
      <w:r>
        <w:t xml:space="preserve">is battery energy received from the charger,</w:t>
      </w:r>
      <w:r>
        <w:t xml:space="preserve"> </w:t>
      </w:r>
      <m:oMath>
        <m:sSub>
          <m:e>
            <m:r>
              <m:t>η</m:t>
            </m:r>
          </m:e>
          <m:sub>
            <m:r>
              <m:t>c</m:t>
            </m:r>
          </m:sub>
        </m:sSub>
        <m:r>
          <m:rPr>
            <m:sty m:val="p"/>
          </m:rPr>
          <m:t>=</m:t>
        </m:r>
        <m:r>
          <m:t>0.90</m:t>
        </m:r>
      </m:oMath>
      <w:r>
        <w:t xml:space="preserve">, and</w:t>
      </w:r>
      <w:r>
        <w:t xml:space="preserve"> </w:t>
      </w:r>
      <m:oMath>
        <m:r>
          <m:rPr>
            <m:sty m:val="p"/>
          </m:rPr>
          <m:t>Δ</m:t>
        </m:r>
        <m:r>
          <m:t>t</m:t>
        </m:r>
        <m:r>
          <m:rPr>
            <m:sty m:val="p"/>
          </m:rPr>
          <m:t>=</m:t>
        </m:r>
        <m:r>
          <m:t>1</m:t>
        </m:r>
        <m:r>
          <m:rPr>
            <m:sty m:val="p"/>
          </m:rPr>
          <m:t>/</m:t>
        </m:r>
        <m:r>
          <m:t>60</m:t>
        </m:r>
      </m:oMath>
      <w:r>
        <w:t xml:space="preserve"> </w:t>
      </w:r>
      <w:r>
        <w:t xml:space="preserve">h. Before dispatch, the model verifies that the aircraft would finish the candidate flight with state of charge at least 0.20. This reserve constraint is separate from the 0.50 opportunity-charging trigger and the 0.85 charging target.</w:t>
      </w:r>
    </w:p>
    <w:bookmarkEnd w:id="19"/>
    <w:bookmarkStart w:id="20" w:name="physical-chargers-and-node-power"/>
    <w:p>
      <w:pPr>
        <w:pStyle w:val="Heading3"/>
      </w:pPr>
      <w:r>
        <w:t xml:space="preserve">3.5 Physical chargers and node power</w:t>
      </w:r>
    </w:p>
    <w:p>
      <w:pPr>
        <w:pStyle w:val="FirstParagraph"/>
      </w:pPr>
      <w:r>
        <w:t xml:space="preserve">Each charger provides 350 kW of grid-side nameplate power. The baseline airport has five chargers, the tight-resource case has two, and each demand zone has one. Charging is non-preemptive within each one-minute update. If all chargers at a node are occupied, eligible aircraft receive a monotonic enqueue sequence and wait first-come, first-served. Node power is the sum of active charger powers, including partial power in the final charging minute. Network power can exceed airport nameplate because demand-zone charging can occur concurrently.</w:t>
      </w:r>
    </w:p>
    <w:bookmarkEnd w:id="20"/>
    <w:bookmarkStart w:id="21" w:name="numerical-clock-and-accounting-boundary"/>
    <w:p>
      <w:pPr>
        <w:pStyle w:val="Heading3"/>
      </w:pPr>
      <w:r>
        <w:t xml:space="preserve">3.6 Numerical clock and accounting boundary</w:t>
      </w:r>
    </w:p>
    <w:p>
      <w:pPr>
        <w:pStyle w:val="FirstParagraph"/>
      </w:pPr>
      <w:r>
        <w:t xml:space="preserve">The kernel advances in one-minute steps and processes activity completions, arrivals, triggers, local assignments, service-required empty dispatch, charging requests, charger allocation, state-of-charge updates, and power accounting in a fixed implementation order. It is an event-rule-based state-transition model, not a next-event discrete-event simulation.</w:t>
      </w:r>
    </w:p>
    <w:p>
      <w:pPr>
        <w:pStyle w:val="BodyText"/>
      </w:pPr>
      <w:r>
        <w:t xml:space="preserve">A 60 min warm-up runs from</w:t>
      </w:r>
      <w:r>
        <w:t xml:space="preserve"> </w:t>
      </w:r>
      <m:oMath>
        <m:r>
          <m:t>t</m:t>
        </m:r>
        <m:r>
          <m:rPr>
            <m:sty m:val="p"/>
          </m:rPr>
          <m:t>=</m:t>
        </m:r>
        <m:r>
          <m:rPr>
            <m:sty m:val="p"/>
          </m:rPr>
          <m:t>−</m:t>
        </m:r>
        <m:r>
          <m:t>60</m:t>
        </m:r>
      </m:oMath>
      <w:r>
        <w:t xml:space="preserve"> </w:t>
      </w:r>
      <w:r>
        <w:t xml:space="preserve">to 0 min, and state is inherited at</w:t>
      </w:r>
      <w:r>
        <w:t xml:space="preserve"> </w:t>
      </w:r>
      <m:oMath>
        <m:r>
          <m:t>t</m:t>
        </m:r>
        <m:r>
          <m:rPr>
            <m:sty m:val="p"/>
          </m:rPr>
          <m:t>=</m:t>
        </m:r>
        <m:r>
          <m:t>0</m:t>
        </m:r>
      </m:oMath>
      <w:r>
        <w:t xml:space="preserve"> </w:t>
      </w:r>
      <w:r>
        <w:t xml:space="preserve">without reset. The formal window covers</w:t>
      </w:r>
      <w:r>
        <w:t xml:space="preserve"> </w:t>
      </w:r>
      <m:oMath>
        <m:r>
          <m:t>t</m:t>
        </m:r>
        <m:r>
          <m:rPr>
            <m:sty m:val="p"/>
          </m:rPr>
          <m:t>=</m:t>
        </m:r>
        <m:r>
          <m:t>0</m:t>
        </m:r>
      </m:oMath>
      <w:r>
        <w:t xml:space="preserve"> </w:t>
      </w:r>
      <w:r>
        <w:t xml:space="preserve">to 119 min, and new arrivals stop at</w:t>
      </w:r>
      <w:r>
        <w:t xml:space="preserve"> </w:t>
      </w:r>
      <m:oMath>
        <m:r>
          <m:t>t</m:t>
        </m:r>
        <m:r>
          <m:rPr>
            <m:sty m:val="p"/>
          </m:rPr>
          <m:t>=</m:t>
        </m:r>
        <m:r>
          <m:t>120</m:t>
        </m:r>
      </m:oMath>
      <w:r>
        <w:t xml:space="preserve"> </w:t>
      </w:r>
      <w:r>
        <w:t xml:space="preserve">min. Energy is reported under a fixed-window endpoint and a state-closed endpoint. The state-closed endpoint continues until all passenger queues are empty and all aircraft are idle, subject to a 180 min protection limit; it closes service and aircraft activity but does not equalize terminal state of charge. This distinction prevents deferred charging from being mistaken for reduced completed-service energy.</w:t>
      </w:r>
    </w:p>
    <w:bookmarkEnd w:id="21"/>
    <w:bookmarkStart w:id="22" w:name="conservation-checks-and-uncertainty"/>
    <w:p>
      <w:pPr>
        <w:pStyle w:val="Heading3"/>
      </w:pPr>
      <w:r>
        <w:t xml:space="preserve">3.7 Conservation checks and uncertainty</w:t>
      </w:r>
    </w:p>
    <w:p>
      <w:pPr>
        <w:pStyle w:val="FirstParagraph"/>
      </w:pPr>
      <w:r>
        <w:t xml:space="preserve">Four conservation checks are required. Passenger ledgers must be unique, complete, and non-duplicated. Aircraft location and state counts must remain constant and mutually exclusive. At each step, fleet battery-energy change must equal battery energy received minus flight energy consumed. The power integral must equal grid energy, and charger occupancy must never exceed the physical count. All runs must close and pass these checks before entering statistical analysis.</w:t>
      </w:r>
    </w:p>
    <w:p>
      <w:pPr>
        <w:pStyle w:val="BodyText"/>
      </w:pPr>
      <w:r>
        <w:t xml:space="preserve">Each scenario uses 30 common-random-number seeds. Paired differences use seed-level matching, and reported intervals are two-sided 95% confidence intervals for replication means. Representation-sufficiency decisions use the upper endpoint of the paired error confidence interval. This is a pre-registered uncertainty guardband; passing a threshold is not interpreted as statistical equivalence to F4.</w:t>
      </w:r>
    </w:p>
    <w:bookmarkEnd w:id="22"/>
    <w:bookmarkEnd w:id="23"/>
    <w:bookmarkStart w:id="28" w:name="experimental-design"/>
    <w:p>
      <w:pPr>
        <w:pStyle w:val="Heading2"/>
      </w:pPr>
      <w:r>
        <w:t xml:space="preserve">4. Experimental Design</w:t>
      </w:r>
    </w:p>
    <w:bookmarkStart w:id="24" w:name="scenario-matrix"/>
    <w:p>
      <w:pPr>
        <w:pStyle w:val="Heading3"/>
      </w:pPr>
      <w:r>
        <w:t xml:space="preserve">4.1 Scenario matrix</w:t>
      </w:r>
    </w:p>
    <w:p>
      <w:pPr>
        <w:pStyle w:val="FirstParagraph"/>
      </w:pPr>
      <w:r>
        <w:t xml:space="preserve">The complete model uses ten scenarios that vary four mechanism dimensions rather than traversing all raw parameters. Table 1 lists the scenario changes relative to the baseline.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Scenario</w:t>
            </w:r>
          </w:p>
        </w:tc>
        <w:tc>
          <w:tcPr/>
          <w:p>
            <w:pPr>
              <w:pStyle w:val="Compact"/>
            </w:pPr>
            <w:r>
              <w:t xml:space="preserve">Change from baseline</w:t>
            </w:r>
          </w:p>
        </w:tc>
        <w:tc>
          <w:tcPr/>
          <w:p>
            <w:pPr>
              <w:pStyle w:val="Compact"/>
            </w:pPr>
            <w:r>
              <w:t xml:space="preserve">Mechanism isolated</w:t>
            </w:r>
          </w:p>
        </w:tc>
      </w:tr>
      <w:tr>
        <w:tc>
          <w:tcPr/>
          <w:p>
            <w:pPr>
              <w:pStyle w:val="Compact"/>
            </w:pPr>
            <w:r>
              <w:t xml:space="preserve">M0</w:t>
            </w:r>
          </w:p>
        </w:tc>
        <w:tc>
          <w:tcPr/>
          <w:p>
            <w:pPr>
              <w:pStyle w:val="Compact"/>
            </w:pPr>
            <w:r>
              <w:t xml:space="preserve">Baseline</w:t>
            </w:r>
          </w:p>
        </w:tc>
        <w:tc>
          <w:tcPr/>
          <w:p>
            <w:pPr>
              <w:pStyle w:val="Compact"/>
            </w:pPr>
            <w:r>
              <w:t xml:space="preserve">none</w:t>
            </w:r>
          </w:p>
        </w:tc>
        <w:tc>
          <w:tcPr/>
          <w:p>
            <w:pPr>
              <w:pStyle w:val="Compact"/>
            </w:pPr>
            <w:r>
              <w:t xml:space="preserve">Reference configuration</w:t>
            </w:r>
          </w:p>
        </w:tc>
      </w:tr>
      <w:tr>
        <w:tc>
          <w:tcPr/>
          <w:p>
            <w:pPr>
              <w:pStyle w:val="Compact"/>
            </w:pPr>
            <w:r>
              <w:t xml:space="preserve">M1</w:t>
            </w:r>
          </w:p>
        </w:tc>
        <w:tc>
          <w:tcPr/>
          <w:p>
            <w:pPr>
              <w:pStyle w:val="Compact"/>
            </w:pPr>
            <w:r>
              <w:t xml:space="preserve">Low demand</w:t>
            </w:r>
          </w:p>
        </w:tc>
        <w:tc>
          <w:tcPr/>
          <w:p>
            <w:pPr>
              <w:pStyle w:val="Compact"/>
            </w:pPr>
            <m:oMath>
              <m:r>
                <m:t>η</m:t>
              </m:r>
              <m:r>
                <m:rPr>
                  <m:sty m:val="p"/>
                </m:rPr>
                <m:t>=</m:t>
              </m:r>
              <m:r>
                <m:t>0.75</m:t>
              </m:r>
            </m:oMath>
            <w:r>
              <w:t xml:space="preserve">​</w:t>
            </w:r>
          </w:p>
        </w:tc>
        <w:tc>
          <w:tcPr/>
          <w:p>
            <w:pPr>
              <w:pStyle w:val="Compact"/>
            </w:pPr>
            <w:r>
              <w:t xml:space="preserve">Low operating pressure</w:t>
            </w:r>
          </w:p>
        </w:tc>
      </w:tr>
      <w:tr>
        <w:tc>
          <w:tcPr/>
          <w:p>
            <w:pPr>
              <w:pStyle w:val="Compact"/>
            </w:pPr>
            <w:r>
              <w:t xml:space="preserve">M2</w:t>
            </w:r>
          </w:p>
        </w:tc>
        <w:tc>
          <w:tcPr/>
          <w:p>
            <w:pPr>
              <w:pStyle w:val="Compact"/>
            </w:pPr>
            <w:r>
              <w:t xml:space="preserve">High demand</w:t>
            </w:r>
          </w:p>
        </w:tc>
        <w:tc>
          <w:tcPr/>
          <w:p>
            <w:pPr>
              <w:pStyle w:val="Compact"/>
            </w:pPr>
            <m:oMath>
              <m:r>
                <m:t>η</m:t>
              </m:r>
              <m:r>
                <m:rPr>
                  <m:sty m:val="p"/>
                </m:rPr>
                <m:t>=</m:t>
              </m:r>
              <m:r>
                <m:t>1.25</m:t>
              </m:r>
            </m:oMath>
            <w:r>
              <w:t xml:space="preserve">​</w:t>
            </w:r>
          </w:p>
        </w:tc>
        <w:tc>
          <w:tcPr/>
          <w:p>
            <w:pPr>
              <w:pStyle w:val="Compact"/>
            </w:pPr>
            <w:r>
              <w:t xml:space="preserve">Near-saturated operating pressure</w:t>
            </w:r>
          </w:p>
        </w:tc>
      </w:tr>
      <w:tr>
        <w:tc>
          <w:tcPr/>
          <w:p>
            <w:pPr>
              <w:pStyle w:val="Compact"/>
            </w:pPr>
            <w:r>
              <w:t xml:space="preserve">M3</w:t>
            </w:r>
          </w:p>
        </w:tc>
        <w:tc>
          <w:tcPr/>
          <w:p>
            <w:pPr>
              <w:pStyle w:val="Compact"/>
            </w:pPr>
            <w:r>
              <w:t xml:space="preserve">Short-distance concentration</w:t>
            </w:r>
          </w:p>
        </w:tc>
        <w:tc>
          <w:tcPr/>
          <w:p>
            <w:pPr>
              <w:pStyle w:val="Compact"/>
            </w:pPr>
            <m:oMath>
              <m:r>
                <m:t>α</m:t>
              </m:r>
              <m:r>
                <m:rPr>
                  <m:sty m:val="p"/>
                </m:rPr>
                <m:t>=</m:t>
              </m:r>
              <m:r>
                <m:rPr>
                  <m:sty m:val="p"/>
                </m:rPr>
                <m:t>(</m:t>
              </m:r>
              <m:r>
                <m:t>0.4</m:t>
              </m:r>
              <m:r>
                <m:rPr>
                  <m:sty m:val="p"/>
                </m:rPr>
                <m:t>,</m:t>
              </m:r>
              <m:r>
                <m:t>0.3</m:t>
              </m:r>
              <m:r>
                <m:rPr>
                  <m:sty m:val="p"/>
                </m:rPr>
                <m:t>,</m:t>
              </m:r>
              <m:r>
                <m:t>0.2</m:t>
              </m:r>
              <m:r>
                <m:rPr>
                  <m:sty m:val="p"/>
                </m:rPr>
                <m:t>,</m:t>
              </m:r>
              <m:r>
                <m:t>0.1</m:t>
              </m:r>
              <m:r>
                <m:rPr>
                  <m:sty m:val="p"/>
                </m:rPr>
                <m:t>)</m:t>
              </m:r>
            </m:oMath>
            <w:r>
              <w:t xml:space="preserve">​</w:t>
            </w:r>
          </w:p>
        </w:tc>
        <w:tc>
          <w:tcPr/>
          <w:p>
            <w:pPr>
              <w:pStyle w:val="Compact"/>
            </w:pPr>
            <w:r>
              <w:t xml:space="preserve">Concentration with lower energy exposure</w:t>
            </w:r>
          </w:p>
        </w:tc>
      </w:tr>
      <w:tr>
        <w:tc>
          <w:tcPr/>
          <w:p>
            <w:pPr>
              <w:pStyle w:val="Compact"/>
            </w:pPr>
            <w:r>
              <w:t xml:space="preserve">M4</w:t>
            </w:r>
          </w:p>
        </w:tc>
        <w:tc>
          <w:tcPr/>
          <w:p>
            <w:pPr>
              <w:pStyle w:val="Compact"/>
            </w:pPr>
            <w:r>
              <w:t xml:space="preserve">Long-distance concentration</w:t>
            </w:r>
          </w:p>
        </w:tc>
        <w:tc>
          <w:tcPr/>
          <w:p>
            <w:pPr>
              <w:pStyle w:val="Compact"/>
            </w:pPr>
            <m:oMath>
              <m:r>
                <m:t>α</m:t>
              </m:r>
              <m:r>
                <m:rPr>
                  <m:sty m:val="p"/>
                </m:rPr>
                <m:t>=</m:t>
              </m:r>
              <m:r>
                <m:rPr>
                  <m:sty m:val="p"/>
                </m:rPr>
                <m:t>(</m:t>
              </m:r>
              <m:r>
                <m:t>0.1</m:t>
              </m:r>
              <m:r>
                <m:rPr>
                  <m:sty m:val="p"/>
                </m:rPr>
                <m:t>,</m:t>
              </m:r>
              <m:r>
                <m:t>0.2</m:t>
              </m:r>
              <m:r>
                <m:rPr>
                  <m:sty m:val="p"/>
                </m:rPr>
                <m:t>,</m:t>
              </m:r>
              <m:r>
                <m:t>0.3</m:t>
              </m:r>
              <m:r>
                <m:rPr>
                  <m:sty m:val="p"/>
                </m:rPr>
                <m:t>,</m:t>
              </m:r>
              <m:r>
                <m:t>0.4</m:t>
              </m:r>
              <m:r>
                <m:rPr>
                  <m:sty m:val="p"/>
                </m:rPr>
                <m:t>)</m:t>
              </m:r>
            </m:oMath>
            <w:r>
              <w:t xml:space="preserve">​</w:t>
            </w:r>
          </w:p>
        </w:tc>
        <w:tc>
          <w:tcPr/>
          <w:p>
            <w:pPr>
              <w:pStyle w:val="Compact"/>
            </w:pPr>
            <w:r>
              <w:t xml:space="preserve">Concentration with higher energy exposure</w:t>
            </w:r>
          </w:p>
        </w:tc>
      </w:tr>
      <w:tr>
        <w:tc>
          <w:tcPr/>
          <w:p>
            <w:pPr>
              <w:pStyle w:val="Compact"/>
            </w:pPr>
            <w:r>
              <w:t xml:space="preserve">M5</w:t>
            </w:r>
          </w:p>
        </w:tc>
        <w:tc>
          <w:tcPr/>
          <w:p>
            <w:pPr>
              <w:pStyle w:val="Compact"/>
            </w:pPr>
            <w:r>
              <w:t xml:space="preserve">Homogeneous distance</w:t>
            </w:r>
          </w:p>
        </w:tc>
        <w:tc>
          <w:tcPr/>
          <w:p>
            <w:pPr>
              <w:pStyle w:val="Compact"/>
            </w:pPr>
            <m:oMath>
              <m:sSub>
                <m:e>
                  <m:r>
                    <m:t>d</m:t>
                  </m:r>
                </m:e>
                <m:sub>
                  <m:r>
                    <m:t>i</m:t>
                  </m:r>
                </m:sub>
              </m:sSub>
              <m:r>
                <m:rPr>
                  <m:sty m:val="p"/>
                </m:rPr>
                <m:t>=</m:t>
              </m:r>
              <m:r>
                <m:rPr>
                  <m:sty m:val="p"/>
                </m:rPr>
                <m:t>(</m:t>
              </m:r>
              <m:r>
                <m:t>10</m:t>
              </m:r>
              <m:r>
                <m:rPr>
                  <m:sty m:val="p"/>
                </m:rPr>
                <m:t>,</m:t>
              </m:r>
              <m:r>
                <m:t>10</m:t>
              </m:r>
              <m:r>
                <m:rPr>
                  <m:sty m:val="p"/>
                </m:rPr>
                <m:t>,</m:t>
              </m:r>
              <m:r>
                <m:t>10</m:t>
              </m:r>
              <m:r>
                <m:rPr>
                  <m:sty m:val="p"/>
                </m:rPr>
                <m:t>,</m:t>
              </m:r>
              <m:r>
                <m:t>10</m:t>
              </m:r>
              <m:r>
                <m:rPr>
                  <m:sty m:val="p"/>
                </m:rPr>
                <m:t>)</m:t>
              </m:r>
            </m:oMath>
            <w:r>
              <w:t xml:space="preserve"> </w:t>
            </w:r>
            <w:r>
              <w:t xml:space="preserve">km</w:t>
            </w:r>
          </w:p>
        </w:tc>
        <w:tc>
          <w:tcPr/>
          <w:p>
            <w:pPr>
              <w:pStyle w:val="Compact"/>
            </w:pPr>
            <w:r>
              <w:t xml:space="preserve">Remove distance heterogeneity</w:t>
            </w:r>
          </w:p>
        </w:tc>
      </w:tr>
      <w:tr>
        <w:tc>
          <w:tcPr/>
          <w:p>
            <w:pPr>
              <w:pStyle w:val="Compact"/>
            </w:pPr>
            <w:r>
              <w:t xml:space="preserve">M6</w:t>
            </w:r>
          </w:p>
        </w:tc>
        <w:tc>
          <w:tcPr/>
          <w:p>
            <w:pPr>
              <w:pStyle w:val="Compact"/>
            </w:pPr>
            <w:r>
              <w:t xml:space="preserve">Lower energy boundary</w:t>
            </w:r>
          </w:p>
        </w:tc>
        <w:tc>
          <w:tcPr/>
          <w:p>
            <w:pPr>
              <w:pStyle w:val="Compact"/>
            </w:pPr>
            <w:r>
              <w:t xml:space="preserve">Alternative mission-energy mapping</w:t>
            </w:r>
          </w:p>
        </w:tc>
        <w:tc>
          <w:tcPr/>
          <w:p>
            <w:pPr>
              <w:pStyle w:val="Compact"/>
            </w:pPr>
            <w:r>
              <w:t xml:space="preserve">Aircraft-performance boundary</w:t>
            </w:r>
          </w:p>
        </w:tc>
      </w:tr>
      <w:tr>
        <w:tc>
          <w:tcPr/>
          <w:p>
            <w:pPr>
              <w:pStyle w:val="Compact"/>
            </w:pPr>
            <w:r>
              <w:t xml:space="preserve">M7</w:t>
            </w:r>
          </w:p>
        </w:tc>
        <w:tc>
          <w:tcPr/>
          <w:p>
            <w:pPr>
              <w:pStyle w:val="Compact"/>
            </w:pPr>
            <w:r>
              <w:t xml:space="preserve">Tight charging</w:t>
            </w:r>
          </w:p>
        </w:tc>
        <w:tc>
          <w:tcPr/>
          <w:p>
            <w:pPr>
              <w:pStyle w:val="Compact"/>
            </w:pPr>
            <w:r>
              <w:t xml:space="preserve">Airport chargers 5 to 2</w:t>
            </w:r>
          </w:p>
        </w:tc>
        <w:tc>
          <w:tcPr/>
          <w:p>
            <w:pPr>
              <w:pStyle w:val="Compact"/>
            </w:pPr>
            <w:r>
              <w:t xml:space="preserve">Physical charger competition</w:t>
            </w:r>
          </w:p>
        </w:tc>
      </w:tr>
      <w:tr>
        <w:tc>
          <w:tcPr/>
          <w:p>
            <w:pPr>
              <w:pStyle w:val="Compact"/>
            </w:pPr>
            <w:r>
              <w:t xml:space="preserve">M9</w:t>
            </w:r>
          </w:p>
        </w:tc>
        <w:tc>
          <w:tcPr/>
          <w:p>
            <w:pPr>
              <w:pStyle w:val="Compact"/>
            </w:pPr>
            <w:r>
              <w:t xml:space="preserve">High demand and tight charging</w:t>
            </w:r>
          </w:p>
        </w:tc>
        <w:tc>
          <w:tcPr/>
          <w:p>
            <w:pPr>
              <w:pStyle w:val="Compact"/>
            </w:pPr>
            <w:r>
              <w:t xml:space="preserve">M2 + M7</w:t>
            </w:r>
          </w:p>
        </w:tc>
        <w:tc>
          <w:tcPr/>
          <w:p>
            <w:pPr>
              <w:pStyle w:val="Compact"/>
            </w:pPr>
            <w:r>
              <w:t xml:space="preserve">Demand-resource interaction</w:t>
            </w:r>
          </w:p>
        </w:tc>
      </w:tr>
      <w:tr>
        <w:tc>
          <w:tcPr/>
          <w:p>
            <w:pPr>
              <w:pStyle w:val="Compact"/>
            </w:pPr>
            <w:r>
              <w:t xml:space="preserve">M10</w:t>
            </w:r>
          </w:p>
        </w:tc>
        <w:tc>
          <w:tcPr/>
          <w:p>
            <w:pPr>
              <w:pStyle w:val="Compact"/>
            </w:pPr>
            <w:r>
              <w:t xml:space="preserve">Long-distance and tight charging</w:t>
            </w:r>
          </w:p>
        </w:tc>
        <w:tc>
          <w:tcPr/>
          <w:p>
            <w:pPr>
              <w:pStyle w:val="Compact"/>
            </w:pPr>
            <w:r>
              <w:t xml:space="preserve">M4 + M7</w:t>
            </w:r>
          </w:p>
        </w:tc>
        <w:tc>
          <w:tcPr/>
          <w:p>
            <w:pPr>
              <w:pStyle w:val="Compact"/>
            </w:pPr>
            <w:r>
              <w:t xml:space="preserve">Spatial-energy-resource interaction</w:t>
            </w:r>
          </w:p>
        </w:tc>
      </w:tr>
    </w:tbl>
    <w:bookmarkEnd w:id="24"/>
    <w:bookmarkStart w:id="25" w:name="nested-fidelity-ladder"/>
    <w:p>
      <w:pPr>
        <w:pStyle w:val="Heading3"/>
      </w:pPr>
      <w:r>
        <w:t xml:space="preserve">4.2 Nested fidelity ladder</w:t>
      </w:r>
    </w:p>
    <w:p>
      <w:pPr>
        <w:pStyle w:val="FirstParagraph"/>
      </w:pPr>
      <w:r>
        <w:t xml:space="preserve">The fidelity experiment uses M0, M2, M4, and M9 as four anchors. Five nested representations are compared:</w:t>
      </w:r>
    </w:p>
    <w:p>
      <w:pPr>
        <w:pStyle w:val="Compact"/>
        <w:numPr>
          <w:ilvl w:val="0"/>
          <w:numId w:val="1002"/>
        </w:numPr>
      </w:pPr>
      <w:r>
        <w:rPr>
          <w:b/>
          <w:bCs/>
        </w:rPr>
        <w:t xml:space="preserve">F0 passenger conversion</w:t>
      </w:r>
      <w:r>
        <w:t xml:space="preserve">: passenger arrivals are directly converted to charging energy.</w:t>
      </w:r>
    </w:p>
    <w:p>
      <w:pPr>
        <w:pStyle w:val="Compact"/>
        <w:numPr>
          <w:ilvl w:val="0"/>
          <w:numId w:val="1002"/>
        </w:numPr>
      </w:pPr>
      <w:r>
        <w:rPr>
          <w:b/>
          <w:bCs/>
        </w:rPr>
        <w:t xml:space="preserve">F1 flight generation</w:t>
      </w:r>
      <w:r>
        <w:t xml:space="preserve">: queues, batching, and passenger flights are added with unlimited virtual aircraft.</w:t>
      </w:r>
    </w:p>
    <w:p>
      <w:pPr>
        <w:pStyle w:val="Compact"/>
        <w:numPr>
          <w:ilvl w:val="0"/>
          <w:numId w:val="1002"/>
        </w:numPr>
      </w:pPr>
      <w:r>
        <w:rPr>
          <w:b/>
          <w:bCs/>
        </w:rPr>
        <w:t xml:space="preserve">F2 finite fleet</w:t>
      </w:r>
      <w:r>
        <w:t xml:space="preserve">: aircraft location, finite circulation, and service-required empty returns are added, but state of charge and physical charging resources are omitted.</w:t>
      </w:r>
    </w:p>
    <w:p>
      <w:pPr>
        <w:pStyle w:val="Compact"/>
        <w:numPr>
          <w:ilvl w:val="0"/>
          <w:numId w:val="1002"/>
        </w:numPr>
      </w:pPr>
      <w:r>
        <w:rPr>
          <w:b/>
          <w:bCs/>
        </w:rPr>
        <w:t xml:space="preserve">F3 state-of-charge feasibility</w:t>
      </w:r>
      <w:r>
        <w:t xml:space="preserve">: continuous state of charge, reserve, charging triggers, and unconstrained charging resources are added.</w:t>
      </w:r>
    </w:p>
    <w:p>
      <w:pPr>
        <w:pStyle w:val="Compact"/>
        <w:numPr>
          <w:ilvl w:val="0"/>
          <w:numId w:val="1002"/>
        </w:numPr>
      </w:pPr>
      <w:r>
        <w:rPr>
          <w:b/>
          <w:bCs/>
        </w:rPr>
        <w:t xml:space="preserve">F4 finite chargers</w:t>
      </w:r>
      <w:r>
        <w:t xml:space="preserve">: physical charger counts and charger queues are added.</w:t>
      </w:r>
    </w:p>
    <w:p>
      <w:pPr>
        <w:pStyle w:val="FirstParagraph"/>
      </w:pPr>
      <w:r>
        <w:t xml:space="preserve">F4 is a frozen mechanism reference, not ground truth or a validated digital twin.</w:t>
      </w:r>
    </w:p>
    <w:bookmarkEnd w:id="25"/>
    <w:bookmarkStart w:id="26" w:name="pre-registered-sufficiency-criteria"/>
    <w:p>
      <w:pPr>
        <w:pStyle w:val="Heading3"/>
      </w:pPr>
      <w:r>
        <w:t xml:space="preserve">4.3 Pre-registered sufficiency criteria</w:t>
      </w:r>
    </w:p>
    <w:p>
      <w:pPr>
        <w:pStyle w:val="FirstParagraph"/>
      </w:pPr>
      <w:r>
        <w:t xml:space="preserve">Energy-planning sufficiency requires, at every anchor, an upper 95% confidence bound no greater than 5% for total grid-energy absolute relative error and no greater than 0.10 for nodal energy-share L1 distance. Power-trajectory sufficiency additionally requires an upper bound no greater than 10% for normalized curve L2 error, load-duration L2 error, run-peak error, P95 error, and P99 error.</w:t>
      </w:r>
    </w:p>
    <w:p>
      <w:pPr>
        <w:pStyle w:val="BodyText"/>
      </w:pPr>
      <w:r>
        <w:t xml:space="preserve">For a representation</w:t>
      </w:r>
      <w:r>
        <w:t xml:space="preserve"> </w:t>
      </w:r>
      <m:oMath>
        <m:r>
          <m:t>F</m:t>
        </m:r>
        <m:r>
          <m:rPr>
            <m:sty m:val="p"/>
          </m:rPr>
          <m:t>∈</m:t>
        </m:r>
        <m:r>
          <m:rPr>
            <m:sty m:val="p"/>
          </m:rPr>
          <m:t>{</m:t>
        </m:r>
        <m:r>
          <m:t>F</m:t>
        </m:r>
        <m:r>
          <m:t>0</m:t>
        </m:r>
        <m:r>
          <m:rPr>
            <m:sty m:val="p"/>
          </m:rPr>
          <m:t>,</m:t>
        </m:r>
        <m:r>
          <m:t>F</m:t>
        </m:r>
        <m:r>
          <m:t>1</m:t>
        </m:r>
        <m:r>
          <m:rPr>
            <m:sty m:val="p"/>
          </m:rPr>
          <m:t>,</m:t>
        </m:r>
        <m:r>
          <m:t>F</m:t>
        </m:r>
        <m:r>
          <m:t>2</m:t>
        </m:r>
        <m:r>
          <m:rPr>
            <m:sty m:val="p"/>
          </m:rPr>
          <m:t>,</m:t>
        </m:r>
        <m:r>
          <m:t>F</m:t>
        </m:r>
        <m:r>
          <m:t>3</m:t>
        </m:r>
        <m:r>
          <m:rPr>
            <m:sty m:val="p"/>
          </m:rPr>
          <m:t>}</m:t>
        </m:r>
      </m:oMath>
      <w:r>
        <w:t xml:space="preserve"> </w:t>
      </w:r>
      <w:r>
        <w:t xml:space="preserve">and seed</w:t>
      </w:r>
      <w:r>
        <w:t xml:space="preserve"> </w:t>
      </w:r>
      <m:oMath>
        <m:r>
          <m:t>s</m:t>
        </m:r>
      </m:oMath>
      <w:r>
        <w:t xml:space="preserve"> </w:t>
      </w:r>
      <w:r>
        <w:t xml:space="preserve">in anchor</w:t>
      </w:r>
      <w:r>
        <w:t xml:space="preserve"> </w:t>
      </w:r>
      <m:oMath>
        <m:r>
          <m:t>m</m:t>
        </m:r>
      </m:oMath>
      <w:r>
        <w:t xml:space="preserve">, energy error is</w:t>
      </w:r>
    </w:p>
    <w:p>
      <w:pPr>
        <w:pStyle w:val="BodyText"/>
      </w:pPr>
      <m:oMathPara>
        <m:oMathParaPr>
          <m:jc m:val="center"/>
        </m:oMathParaPr>
        <m:oMath>
          <m:sSubSup>
            <m:e>
              <m:r>
                <m:t>e</m:t>
              </m:r>
            </m:e>
            <m:sub>
              <m:r>
                <m:t>E</m:t>
              </m:r>
              <m:r>
                <m:rPr>
                  <m:sty m:val="p"/>
                </m:rPr>
                <m:t>,</m:t>
              </m:r>
              <m:r>
                <m:t>F</m:t>
              </m:r>
            </m:sub>
            <m:sup>
              <m:r>
                <m:rPr>
                  <m:sty m:val="p"/>
                </m:rPr>
                <m:t>(</m:t>
              </m:r>
              <m:r>
                <m:t>m</m:t>
              </m:r>
              <m:r>
                <m:rPr>
                  <m:sty m:val="p"/>
                </m:rPr>
                <m:t>,</m:t>
              </m:r>
              <m:r>
                <m:t>s</m:t>
              </m:r>
              <m:r>
                <m:rPr>
                  <m:sty m:val="p"/>
                </m:rPr>
                <m:t>)</m:t>
              </m:r>
            </m:sup>
          </m:sSubSup>
          <m:r>
            <m:rPr>
              <m:sty m:val="p"/>
            </m:rPr>
            <m:t>=</m:t>
          </m:r>
          <m:f>
            <m:fPr>
              <m:type m:val="bar"/>
            </m:fPr>
            <m:num>
              <m:d>
                <m:dPr>
                  <m:begChr m:val="|"/>
                  <m:sepChr m:val=""/>
                  <m:endChr m:val="|"/>
                  <m:grow/>
                </m:dPr>
                <m:e>
                  <m:sSubSup>
                    <m:e>
                      <m:r>
                        <m:t>E</m:t>
                      </m:r>
                    </m:e>
                    <m:sub>
                      <m:r>
                        <m:t>F</m:t>
                      </m:r>
                    </m:sub>
                    <m:sup>
                      <m:r>
                        <m:rPr>
                          <m:sty m:val="p"/>
                        </m:rPr>
                        <m:t>(</m:t>
                      </m:r>
                      <m:r>
                        <m:t>m</m:t>
                      </m:r>
                      <m:r>
                        <m:rPr>
                          <m:sty m:val="p"/>
                        </m:rPr>
                        <m:t>,</m:t>
                      </m:r>
                      <m:r>
                        <m:t>s</m:t>
                      </m:r>
                      <m:r>
                        <m:rPr>
                          <m:sty m:val="p"/>
                        </m:rPr>
                        <m:t>)</m:t>
                      </m:r>
                    </m:sup>
                  </m:sSubSup>
                  <m:r>
                    <m:rPr>
                      <m:sty m:val="p"/>
                    </m:rPr>
                    <m:t>−</m:t>
                  </m:r>
                  <m:sSubSup>
                    <m:e>
                      <m:r>
                        <m:t>E</m:t>
                      </m:r>
                    </m:e>
                    <m:sub>
                      <m:r>
                        <m:t>F</m:t>
                      </m:r>
                      <m:r>
                        <m:t>4</m:t>
                      </m:r>
                    </m:sub>
                    <m:sup>
                      <m:r>
                        <m:rPr>
                          <m:sty m:val="p"/>
                        </m:rPr>
                        <m:t>(</m:t>
                      </m:r>
                      <m:r>
                        <m:t>m</m:t>
                      </m:r>
                      <m:r>
                        <m:rPr>
                          <m:sty m:val="p"/>
                        </m:rPr>
                        <m:t>,</m:t>
                      </m:r>
                      <m:r>
                        <m:t>s</m:t>
                      </m:r>
                      <m:r>
                        <m:rPr>
                          <m:sty m:val="p"/>
                        </m:rPr>
                        <m:t>)</m:t>
                      </m:r>
                    </m:sup>
                  </m:sSubSup>
                </m:e>
              </m:d>
            </m:num>
            <m:den>
              <m:sSubSup>
                <m:e>
                  <m:r>
                    <m:t>E</m:t>
                  </m:r>
                </m:e>
                <m:sub>
                  <m:r>
                    <m:t>F</m:t>
                  </m:r>
                  <m:r>
                    <m:t>4</m:t>
                  </m:r>
                </m:sub>
                <m:sup>
                  <m:r>
                    <m:rPr>
                      <m:sty m:val="p"/>
                    </m:rPr>
                    <m:t>(</m:t>
                  </m:r>
                  <m:r>
                    <m:t>m</m:t>
                  </m:r>
                  <m:r>
                    <m:rPr>
                      <m:sty m:val="p"/>
                    </m:rPr>
                    <m:t>,</m:t>
                  </m:r>
                  <m:r>
                    <m:t>s</m:t>
                  </m:r>
                  <m:r>
                    <m:rPr>
                      <m:sty m:val="p"/>
                    </m:rPr>
                    <m:t>)</m:t>
                  </m:r>
                </m:sup>
              </m:sSubSup>
            </m:den>
          </m:f>
          <m:r>
            <m:rPr>
              <m:sty m:val="p"/>
            </m:rPr>
            <m:t>,</m:t>
          </m:r>
        </m:oMath>
      </m:oMathPara>
    </w:p>
    <w:p>
      <w:pPr>
        <w:pStyle w:val="FirstParagraph"/>
      </w:pPr>
      <w:r>
        <w:t xml:space="preserve">and nodal share L1 distance is</w:t>
      </w:r>
    </w:p>
    <w:p>
      <w:pPr>
        <w:pStyle w:val="BodyText"/>
      </w:pPr>
      <m:oMathPara>
        <m:oMathParaPr>
          <m:jc m:val="center"/>
        </m:oMathParaPr>
        <m:oMath>
          <m:sSubSup>
            <m:e>
              <m:r>
                <m:t>e</m:t>
              </m:r>
            </m:e>
            <m:sub>
              <m:r>
                <m:t>q</m:t>
              </m:r>
              <m:r>
                <m:rPr>
                  <m:sty m:val="p"/>
                </m:rPr>
                <m:t>,</m:t>
              </m:r>
              <m:r>
                <m:t>F</m:t>
              </m:r>
            </m:sub>
            <m:sup>
              <m:r>
                <m:rPr>
                  <m:sty m:val="p"/>
                </m:rPr>
                <m:t>(</m:t>
              </m:r>
              <m:r>
                <m:t>m</m:t>
              </m:r>
              <m:r>
                <m:rPr>
                  <m:sty m:val="p"/>
                </m:rPr>
                <m:t>,</m:t>
              </m:r>
              <m:r>
                <m:t>s</m:t>
              </m:r>
              <m:r>
                <m:rPr>
                  <m:sty m:val="p"/>
                </m:rPr>
                <m:t>)</m:t>
              </m:r>
            </m:sup>
          </m:sSubSup>
          <m:r>
            <m:rPr>
              <m:sty m:val="p"/>
            </m:rPr>
            <m:t>=</m:t>
          </m:r>
          <m:nary>
            <m:naryPr>
              <m:chr m:val="∑"/>
              <m:limLoc m:val="undOvr"/>
              <m:subHide m:val="off"/>
              <m:supHide m:val="on"/>
            </m:naryPr>
            <m:sub>
              <m:r>
                <m:t>v</m:t>
              </m:r>
            </m:sub>
            <m:sup>
              <m:r>
                <m:t>​</m:t>
              </m:r>
            </m:sup>
            <m:e>
              <m:d>
                <m:dPr>
                  <m:begChr m:val="|"/>
                  <m:sepChr m:val=""/>
                  <m:endChr m:val="|"/>
                  <m:grow/>
                </m:dPr>
                <m:e>
                  <m:sSubSup>
                    <m:e>
                      <m:r>
                        <m:t>q</m:t>
                      </m:r>
                    </m:e>
                    <m:sub>
                      <m:r>
                        <m:t>F</m:t>
                      </m:r>
                      <m:r>
                        <m:rPr>
                          <m:sty m:val="p"/>
                        </m:rPr>
                        <m:t>,</m:t>
                      </m:r>
                      <m:r>
                        <m:t>v</m:t>
                      </m:r>
                    </m:sub>
                    <m:sup>
                      <m:r>
                        <m:rPr>
                          <m:sty m:val="p"/>
                        </m:rPr>
                        <m:t>(</m:t>
                      </m:r>
                      <m:r>
                        <m:t>m</m:t>
                      </m:r>
                      <m:r>
                        <m:rPr>
                          <m:sty m:val="p"/>
                        </m:rPr>
                        <m:t>,</m:t>
                      </m:r>
                      <m:r>
                        <m:t>s</m:t>
                      </m:r>
                      <m:r>
                        <m:rPr>
                          <m:sty m:val="p"/>
                        </m:rPr>
                        <m:t>)</m:t>
                      </m:r>
                    </m:sup>
                  </m:sSubSup>
                  <m:r>
                    <m:rPr>
                      <m:sty m:val="p"/>
                    </m:rPr>
                    <m:t>−</m:t>
                  </m:r>
                  <m:sSubSup>
                    <m:e>
                      <m:r>
                        <m:t>q</m:t>
                      </m:r>
                    </m:e>
                    <m:sub>
                      <m:r>
                        <m:t>F</m:t>
                      </m:r>
                      <m:r>
                        <m:t>4</m:t>
                      </m:r>
                      <m:r>
                        <m:rPr>
                          <m:sty m:val="p"/>
                        </m:rPr>
                        <m:t>,</m:t>
                      </m:r>
                      <m:r>
                        <m:t>v</m:t>
                      </m:r>
                    </m:sub>
                    <m:sup>
                      <m:r>
                        <m:rPr>
                          <m:sty m:val="p"/>
                        </m:rPr>
                        <m:t>(</m:t>
                      </m:r>
                      <m:r>
                        <m:t>m</m:t>
                      </m:r>
                      <m:r>
                        <m:rPr>
                          <m:sty m:val="p"/>
                        </m:rPr>
                        <m:t>,</m:t>
                      </m:r>
                      <m:r>
                        <m:t>s</m:t>
                      </m:r>
                      <m:r>
                        <m:rPr>
                          <m:sty m:val="p"/>
                        </m:rPr>
                        <m:t>)</m:t>
                      </m:r>
                    </m:sup>
                  </m:sSubSup>
                </m:e>
              </m:d>
            </m:e>
          </m:nary>
          <m:r>
            <m:rPr>
              <m:sty m:val="p"/>
            </m:rPr>
            <m:t>.</m:t>
          </m:r>
        </m:oMath>
      </m:oMathPara>
    </w:p>
    <w:p>
      <w:pPr>
        <w:pStyle w:val="FirstParagraph"/>
      </w:pPr>
      <w:r>
        <w:t xml:space="preserve">The power-curve error is</w:t>
      </w:r>
    </w:p>
    <w:p>
      <w:pPr>
        <w:pStyle w:val="BodyText"/>
      </w:pPr>
      <m:oMathPara>
        <m:oMathParaPr>
          <m:jc m:val="center"/>
        </m:oMathParaPr>
        <m:oMath>
          <m:sSubSup>
            <m:e>
              <m:r>
                <m:t>e</m:t>
              </m:r>
            </m:e>
            <m:sub>
              <m:r>
                <m:t>P</m:t>
              </m:r>
              <m:r>
                <m:rPr>
                  <m:sty m:val="p"/>
                </m:rPr>
                <m:t>,</m:t>
              </m:r>
              <m:r>
                <m:t>F</m:t>
              </m:r>
            </m:sub>
            <m:sup>
              <m:r>
                <m:rPr>
                  <m:sty m:val="p"/>
                </m:rPr>
                <m:t>(</m:t>
              </m:r>
              <m:r>
                <m:t>m</m:t>
              </m:r>
              <m:r>
                <m:rPr>
                  <m:sty m:val="p"/>
                </m:rPr>
                <m:t>,</m:t>
              </m:r>
              <m:r>
                <m:t>s</m:t>
              </m:r>
              <m:r>
                <m:rPr>
                  <m:sty m:val="p"/>
                </m:rPr>
                <m:t>)</m:t>
              </m:r>
            </m:sup>
          </m:sSubSup>
          <m:r>
            <m:rPr>
              <m:sty m:val="p"/>
            </m:rPr>
            <m:t>=</m:t>
          </m:r>
          <m:f>
            <m:fPr>
              <m:type m:val="bar"/>
            </m:fPr>
            <m:num>
              <m:sSub>
                <m:e>
                  <m:d>
                    <m:dPr>
                      <m:begChr m:val="∥"/>
                      <m:sepChr m:val=""/>
                      <m:endChr m:val="∥"/>
                      <m:grow/>
                    </m:dPr>
                    <m:e>
                      <m:sSubSup>
                        <m:e>
                          <m:r>
                            <m:rPr>
                              <m:sty m:val="bi"/>
                            </m:rPr>
                            <m:t>P</m:t>
                          </m:r>
                        </m:e>
                        <m:sub>
                          <m:r>
                            <m:t>F</m:t>
                          </m:r>
                        </m:sub>
                        <m:sup>
                          <m:r>
                            <m:rPr>
                              <m:sty m:val="p"/>
                            </m:rPr>
                            <m:t>(</m:t>
                          </m:r>
                          <m:r>
                            <m:t>m</m:t>
                          </m:r>
                          <m:r>
                            <m:rPr>
                              <m:sty m:val="p"/>
                            </m:rPr>
                            <m:t>,</m:t>
                          </m:r>
                          <m:r>
                            <m:t>s</m:t>
                          </m:r>
                          <m:r>
                            <m:rPr>
                              <m:sty m:val="p"/>
                            </m:rPr>
                            <m:t>)</m:t>
                          </m:r>
                        </m:sup>
                      </m:sSubSup>
                      <m:r>
                        <m:rPr>
                          <m:sty m:val="p"/>
                        </m:rPr>
                        <m:t>−</m:t>
                      </m:r>
                      <m:sSubSup>
                        <m:e>
                          <m:r>
                            <m:rPr>
                              <m:sty m:val="bi"/>
                            </m:rPr>
                            <m:t>P</m:t>
                          </m:r>
                        </m:e>
                        <m:sub>
                          <m:r>
                            <m:t>F</m:t>
                          </m:r>
                          <m:r>
                            <m:t>4</m:t>
                          </m:r>
                        </m:sub>
                        <m:sup>
                          <m:r>
                            <m:rPr>
                              <m:sty m:val="p"/>
                            </m:rPr>
                            <m:t>(</m:t>
                          </m:r>
                          <m:r>
                            <m:t>m</m:t>
                          </m:r>
                          <m:r>
                            <m:rPr>
                              <m:sty m:val="p"/>
                            </m:rPr>
                            <m:t>,</m:t>
                          </m:r>
                          <m:r>
                            <m:t>s</m:t>
                          </m:r>
                          <m:r>
                            <m:rPr>
                              <m:sty m:val="p"/>
                            </m:rPr>
                            <m:t>)</m:t>
                          </m:r>
                        </m:sup>
                      </m:sSubSup>
                    </m:e>
                  </m:d>
                </m:e>
                <m:sub>
                  <m:r>
                    <m:t>2</m:t>
                  </m:r>
                </m:sub>
              </m:sSub>
            </m:num>
            <m:den>
              <m:sSub>
                <m:e>
                  <m:d>
                    <m:dPr>
                      <m:begChr m:val="∥"/>
                      <m:sepChr m:val=""/>
                      <m:endChr m:val="∥"/>
                      <m:grow/>
                    </m:dPr>
                    <m:e>
                      <m:sSubSup>
                        <m:e>
                          <m:r>
                            <m:rPr>
                              <m:sty m:val="bi"/>
                            </m:rPr>
                            <m:t>P</m:t>
                          </m:r>
                        </m:e>
                        <m:sub>
                          <m:r>
                            <m:t>F</m:t>
                          </m:r>
                          <m:r>
                            <m:t>4</m:t>
                          </m:r>
                        </m:sub>
                        <m:sup>
                          <m:r>
                            <m:rPr>
                              <m:sty m:val="p"/>
                            </m:rPr>
                            <m:t>(</m:t>
                          </m:r>
                          <m:r>
                            <m:t>m</m:t>
                          </m:r>
                          <m:r>
                            <m:rPr>
                              <m:sty m:val="p"/>
                            </m:rPr>
                            <m:t>,</m:t>
                          </m:r>
                          <m:r>
                            <m:t>s</m:t>
                          </m:r>
                          <m:r>
                            <m:rPr>
                              <m:sty m:val="p"/>
                            </m:rPr>
                            <m:t>)</m:t>
                          </m:r>
                        </m:sup>
                      </m:sSubSup>
                    </m:e>
                  </m:d>
                </m:e>
                <m:sub>
                  <m:r>
                    <m:t>2</m:t>
                  </m:r>
                </m:sub>
              </m:sSub>
            </m:den>
          </m:f>
          <m:r>
            <m:rPr>
              <m:sty m:val="p"/>
            </m:rPr>
            <m:t>.</m:t>
          </m:r>
        </m:oMath>
      </m:oMathPara>
    </w:p>
    <w:p>
      <w:pPr>
        <w:pStyle w:val="FirstParagraph"/>
      </w:pPr>
      <w:r>
        <w:t xml:space="preserve">The upper endpoint of the paired 95% confidence interval is compared with each frozen threshold. A layer is sufficient only if it passes at all four anchors. The lowest passing layer is the minimum sufficient representation for that output class.</w:t>
      </w:r>
    </w:p>
    <w:bookmarkEnd w:id="26"/>
    <w:bookmarkStart w:id="27" w:name="implementation-and-validation"/>
    <w:p>
      <w:pPr>
        <w:pStyle w:val="Heading3"/>
      </w:pPr>
      <w:r>
        <w:t xml:space="preserve">4.4 Implementation and validation</w:t>
      </w:r>
    </w:p>
    <w:p>
      <w:pPr>
        <w:pStyle w:val="FirstParagraph"/>
      </w:pPr>
      <w:r>
        <w:t xml:space="preserve">The formal experiment uses 30 common-random-number seeds, independent of the screening sample. All 300 complete-model runs and all 600 fidelity records close and pass conservation. State-of-charge-aware F3 runs have no charger waiting by construction, and F4 reproduces existing formal scalar results with zero error on replayed seeds.</w:t>
      </w:r>
    </w:p>
    <w:bookmarkEnd w:id="27"/>
    <w:bookmarkEnd w:id="28"/>
    <w:bookmarkStart w:id="37" w:name="results"/>
    <w:p>
      <w:pPr>
        <w:pStyle w:val="Heading2"/>
      </w:pPr>
      <w:r>
        <w:t xml:space="preserve">5. Results</w:t>
      </w:r>
    </w:p>
    <w:bookmarkStart w:id="29" w:name="scenario-mechanisms"/>
    <w:p>
      <w:pPr>
        <w:pStyle w:val="Heading3"/>
      </w:pPr>
      <w:r>
        <w:t xml:space="preserve">5.1 Scenario mechanisms</w:t>
      </w:r>
    </w:p>
    <w:p>
      <w:pPr>
        <w:pStyle w:val="FirstParagraph"/>
      </w:pPr>
      <w:r>
        <w:t xml:space="preserve">The ten-scenario experiment identifies the mechanisms that shape endogenous load. Relative to the baseline, low demand reduces realized grid energy by 19.9% and high demand increases it by 18.0%, while high demand also raises average waiting by 22.7% and maximum queue by 41.3%. Charging load therefore does not scale linearly with passenger count.</w:t>
      </w:r>
    </w:p>
    <w:p>
      <w:pPr>
        <w:pStyle w:val="BodyText"/>
      </w:pPr>
      <w:r>
        <w:t xml:space="preserve">Long-distance concentration increases grid energy by 4.8% and flight energy by 3.9% relative to short-distance concentration, while passenger flight counts remain nearly unchanged. The lower-energy boundary scenario has the largest energy effect, reducing realized grid energy by 46.9% and flight energy by 38.4%, confirming that absolute energy forecasts remain conditional on aircraft-performance assumptions.</w:t>
      </w:r>
    </w:p>
    <w:p>
      <w:pPr>
        <w:pStyle w:val="BodyText"/>
      </w:pPr>
      <w:r>
        <w:t xml:space="preserve">Charging-resource constraints primarily reshape timing rather than total task energy. Tight charging reduces the formal-window run-peak point estimate by 13.5% relative to baseline while changing grid energy by only 0.1% and flight energy by 0.4%. Under high demand and tight charging, the peak point estimate falls by 21.2% relative to high demand alone; under long-distance and tight charging, it falls by 17.8% relative to long-distance alone. The point estimates indicate a physical concurrency cap followed by temporal displacement, although the corresponding difference-in-differences intervals are not tight enough to claim a stable nonlinear interaction.</w:t>
      </w:r>
    </w:p>
    <w:bookmarkEnd w:id="29"/>
    <w:bookmarkStart w:id="30" w:name="peak-exposure-and-non-coincidence"/>
    <w:p>
      <w:pPr>
        <w:pStyle w:val="Heading3"/>
      </w:pPr>
      <w:r>
        <w:t xml:space="preserve">5.2 Peak exposure and non-coincidence</w:t>
      </w:r>
    </w:p>
    <w:p>
      <w:pPr>
        <w:pStyle w:val="FirstParagraph"/>
      </w:pPr>
      <w:r>
        <w:t xml:space="preserve">The run-level peak and the peak of the mean load curve are distinct objects. Across the ten scenarios, the difference between the mean run-level peak and the mean-curve peak ranges from 340 to 641 kW. Averaging trajectories before taking a maximum therefore materially understates capacity exposure. Tight-charging scenarios show airport full-charger probabilities of 29.56%, 39.86%, and 32.94% for M7, M9, and M10, respectively, while the baseline airport full probability is zero. In those scenarios, network P95 and P99 power are both 1050 kW, consistent with sustained charger occupation and power truncation rather than reduced flight work.</w:t>
      </w:r>
    </w:p>
    <w:bookmarkEnd w:id="30"/>
    <w:bookmarkStart w:id="31" w:name="energy-planning-fidelity"/>
    <w:p>
      <w:pPr>
        <w:pStyle w:val="Heading3"/>
      </w:pPr>
      <w:r>
        <w:t xml:space="preserve">5.3 Energy-planning fidelity</w:t>
      </w:r>
    </w:p>
    <w:p>
      <w:pPr>
        <w:pStyle w:val="FirstParagraph"/>
      </w:pPr>
      <w:r>
        <w:t xml:space="preserve">Table 2 reports the frozen energy criteria for the state-of-charge-aware F3 layer. F3 passes both criteria at all four anchors. The tightest boundary is M9, where the total-energy upper confidence bound is 4.539%, near the 5% threshold.</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Anchor</w:t>
            </w:r>
          </w:p>
        </w:tc>
        <w:tc>
          <w:tcPr/>
          <w:p>
            <w:pPr>
              <w:pStyle w:val="Compact"/>
              <w:jc w:val="right"/>
            </w:pPr>
            <w:r>
              <w:t xml:space="preserve">F3 total-energy error CI upper</w:t>
            </w:r>
          </w:p>
        </w:tc>
        <w:tc>
          <w:tcPr/>
          <w:p>
            <w:pPr>
              <w:pStyle w:val="Compact"/>
              <w:jc w:val="right"/>
            </w:pPr>
            <w:r>
              <w:t xml:space="preserve">F3 nodal-share L1 CI upper</w:t>
            </w:r>
          </w:p>
        </w:tc>
        <w:tc>
          <w:tcPr/>
          <w:p>
            <w:pPr>
              <w:pStyle w:val="Compact"/>
            </w:pPr>
            <w:r>
              <w:t xml:space="preserve">Decision</w:t>
            </w:r>
          </w:p>
        </w:tc>
      </w:tr>
      <w:tr>
        <w:tc>
          <w:tcPr/>
          <w:p>
            <w:pPr>
              <w:pStyle w:val="Compact"/>
            </w:pPr>
            <w:r>
              <w:t xml:space="preserve">M0</w:t>
            </w:r>
          </w:p>
        </w:tc>
        <w:tc>
          <w:tcPr/>
          <w:p>
            <w:pPr>
              <w:pStyle w:val="Compact"/>
              <w:jc w:val="right"/>
            </w:pPr>
            <w:r>
              <w:t xml:space="preserve">0.000%</w:t>
            </w:r>
          </w:p>
        </w:tc>
        <w:tc>
          <w:tcPr/>
          <w:p>
            <w:pPr>
              <w:pStyle w:val="Compact"/>
              <w:jc w:val="right"/>
            </w:pPr>
            <w:r>
              <w:t xml:space="preserve">0.0160</w:t>
            </w:r>
          </w:p>
        </w:tc>
        <w:tc>
          <w:tcPr/>
          <w:p>
            <w:pPr>
              <w:pStyle w:val="Compact"/>
            </w:pPr>
            <w:r>
              <w:t xml:space="preserve">Pass</w:t>
            </w:r>
          </w:p>
        </w:tc>
      </w:tr>
      <w:tr>
        <w:tc>
          <w:tcPr/>
          <w:p>
            <w:pPr>
              <w:pStyle w:val="Compact"/>
            </w:pPr>
            <w:r>
              <w:t xml:space="preserve">M2</w:t>
            </w:r>
          </w:p>
        </w:tc>
        <w:tc>
          <w:tcPr/>
          <w:p>
            <w:pPr>
              <w:pStyle w:val="Compact"/>
              <w:jc w:val="right"/>
            </w:pPr>
            <w:r>
              <w:t xml:space="preserve">0.386%</w:t>
            </w:r>
          </w:p>
        </w:tc>
        <w:tc>
          <w:tcPr/>
          <w:p>
            <w:pPr>
              <w:pStyle w:val="Compact"/>
              <w:jc w:val="right"/>
            </w:pPr>
            <w:r>
              <w:t xml:space="preserve">0.0099</w:t>
            </w:r>
          </w:p>
        </w:tc>
        <w:tc>
          <w:tcPr/>
          <w:p>
            <w:pPr>
              <w:pStyle w:val="Compact"/>
            </w:pPr>
            <w:r>
              <w:t xml:space="preserve">Pass</w:t>
            </w:r>
          </w:p>
        </w:tc>
      </w:tr>
      <w:tr>
        <w:tc>
          <w:tcPr/>
          <w:p>
            <w:pPr>
              <w:pStyle w:val="Compact"/>
            </w:pPr>
            <w:r>
              <w:t xml:space="preserve">M4</w:t>
            </w:r>
          </w:p>
        </w:tc>
        <w:tc>
          <w:tcPr/>
          <w:p>
            <w:pPr>
              <w:pStyle w:val="Compact"/>
              <w:jc w:val="right"/>
            </w:pPr>
            <w:r>
              <w:t xml:space="preserve">0.010%</w:t>
            </w:r>
          </w:p>
        </w:tc>
        <w:tc>
          <w:tcPr/>
          <w:p>
            <w:pPr>
              <w:pStyle w:val="Compact"/>
              <w:jc w:val="right"/>
            </w:pPr>
            <w:r>
              <w:t xml:space="preserve">0.0095</w:t>
            </w:r>
          </w:p>
        </w:tc>
        <w:tc>
          <w:tcPr/>
          <w:p>
            <w:pPr>
              <w:pStyle w:val="Compact"/>
            </w:pPr>
            <w:r>
              <w:t xml:space="preserve">Pass</w:t>
            </w:r>
          </w:p>
        </w:tc>
      </w:tr>
      <w:tr>
        <w:tc>
          <w:tcPr/>
          <w:p>
            <w:pPr>
              <w:pStyle w:val="Compact"/>
            </w:pPr>
            <w:r>
              <w:t xml:space="preserve">M9</w:t>
            </w:r>
          </w:p>
        </w:tc>
        <w:tc>
          <w:tcPr/>
          <w:p>
            <w:pPr>
              <w:pStyle w:val="Compact"/>
              <w:jc w:val="right"/>
            </w:pPr>
            <w:r>
              <w:t xml:space="preserve">4.539%</w:t>
            </w:r>
          </w:p>
        </w:tc>
        <w:tc>
          <w:tcPr/>
          <w:p>
            <w:pPr>
              <w:pStyle w:val="Compact"/>
              <w:jc w:val="right"/>
            </w:pPr>
            <w:r>
              <w:t xml:space="preserve">0.0706</w:t>
            </w:r>
          </w:p>
        </w:tc>
        <w:tc>
          <w:tcPr/>
          <w:p>
            <w:pPr>
              <w:pStyle w:val="Compact"/>
            </w:pPr>
            <w:r>
              <w:t xml:space="preserve">Pass</w:t>
            </w:r>
          </w:p>
        </w:tc>
      </w:tr>
    </w:tbl>
    <w:p>
      <w:pPr>
        <w:pStyle w:val="BodyText"/>
      </w:pPr>
      <w:r>
        <w:t xml:space="preserve">In contrast, F2 fails energy planning: total-energy error upper bounds are 11.99%–12.86%, and nodal-share L1 distances are 0.538–0.635. Finite fleet circulation alone therefore does not recover where and how much energy must be replenished. State-of-charge feasibility, reserve, and cross-task energy memory must be retained.</w:t>
      </w:r>
    </w:p>
    <w:bookmarkEnd w:id="31"/>
    <w:bookmarkStart w:id="35" w:name="power-trajectory-fidelity"/>
    <w:p>
      <w:pPr>
        <w:pStyle w:val="Heading3"/>
      </w:pPr>
      <w:r>
        <w:t xml:space="preserve">5.4 Power-trajectory fidelity</w:t>
      </w:r>
    </w:p>
    <w:p>
      <w:pPr>
        <w:pStyle w:val="FirstParagraph"/>
      </w:pPr>
      <w:r>
        <w:t xml:space="preserve">No simplified layer passes the full power-trajectory criteria at all four anchors. Table 3 reports the F3 error upper bounds.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Anchor</w:t>
            </w:r>
          </w:p>
        </w:tc>
        <w:tc>
          <w:tcPr/>
          <w:p>
            <w:pPr>
              <w:pStyle w:val="Compact"/>
              <w:jc w:val="right"/>
            </w:pPr>
            <w:r>
              <w:t xml:space="preserve">Curve L2</w:t>
            </w:r>
          </w:p>
        </w:tc>
        <w:tc>
          <w:tcPr/>
          <w:p>
            <w:pPr>
              <w:pStyle w:val="Compact"/>
              <w:jc w:val="right"/>
            </w:pPr>
            <w:r>
              <w:t xml:space="preserve">Load-duration L2</w:t>
            </w:r>
          </w:p>
        </w:tc>
        <w:tc>
          <w:tcPr/>
          <w:p>
            <w:pPr>
              <w:pStyle w:val="Compact"/>
              <w:jc w:val="right"/>
            </w:pPr>
            <w:r>
              <w:t xml:space="preserve">Peak</w:t>
            </w:r>
          </w:p>
        </w:tc>
        <w:tc>
          <w:tcPr/>
          <w:p>
            <w:pPr>
              <w:pStyle w:val="Compact"/>
              <w:jc w:val="right"/>
            </w:pPr>
            <w:r>
              <w:t xml:space="preserve">P95</w:t>
            </w:r>
          </w:p>
        </w:tc>
        <w:tc>
          <w:tcPr/>
          <w:p>
            <w:pPr>
              <w:pStyle w:val="Compact"/>
              <w:jc w:val="right"/>
            </w:pPr>
            <w:r>
              <w:t xml:space="preserve">P99</w:t>
            </w:r>
          </w:p>
        </w:tc>
        <w:tc>
          <w:tcPr/>
          <w:p>
            <w:pPr>
              <w:pStyle w:val="Compact"/>
            </w:pPr>
            <w:r>
              <w:t xml:space="preserve">Decision</w:t>
            </w:r>
          </w:p>
        </w:tc>
      </w:tr>
      <w:tr>
        <w:tc>
          <w:tcPr/>
          <w:p>
            <w:pPr>
              <w:pStyle w:val="Compact"/>
            </w:pPr>
            <w:r>
              <w:t xml:space="preserve">M0</w:t>
            </w:r>
          </w:p>
        </w:tc>
        <w:tc>
          <w:tcPr/>
          <w:p>
            <w:pPr>
              <w:pStyle w:val="Compact"/>
              <w:jc w:val="right"/>
            </w:pPr>
            <w:r>
              <w:t xml:space="preserve">17.50%</w:t>
            </w:r>
          </w:p>
        </w:tc>
        <w:tc>
          <w:tcPr/>
          <w:p>
            <w:pPr>
              <w:pStyle w:val="Compact"/>
              <w:jc w:val="right"/>
            </w:pPr>
            <w:r>
              <w:t xml:space="preserve">13.64%</w:t>
            </w:r>
          </w:p>
        </w:tc>
        <w:tc>
          <w:tcPr/>
          <w:p>
            <w:pPr>
              <w:pStyle w:val="Compact"/>
              <w:jc w:val="right"/>
            </w:pPr>
            <w:r>
              <w:t xml:space="preserve">14.44%</w:t>
            </w:r>
          </w:p>
        </w:tc>
        <w:tc>
          <w:tcPr/>
          <w:p>
            <w:pPr>
              <w:pStyle w:val="Compact"/>
              <w:jc w:val="right"/>
            </w:pPr>
            <w:r>
              <w:t xml:space="preserve">6.55%</w:t>
            </w:r>
          </w:p>
        </w:tc>
        <w:tc>
          <w:tcPr/>
          <w:p>
            <w:pPr>
              <w:pStyle w:val="Compact"/>
              <w:jc w:val="right"/>
            </w:pPr>
            <w:r>
              <w:t xml:space="preserve">13.69%</w:t>
            </w:r>
          </w:p>
        </w:tc>
        <w:tc>
          <w:tcPr/>
          <w:p>
            <w:pPr>
              <w:pStyle w:val="Compact"/>
            </w:pPr>
            <w:r>
              <w:t xml:space="preserve">Fail</w:t>
            </w:r>
          </w:p>
        </w:tc>
      </w:tr>
      <w:tr>
        <w:tc>
          <w:tcPr/>
          <w:p>
            <w:pPr>
              <w:pStyle w:val="Compact"/>
            </w:pPr>
            <w:r>
              <w:t xml:space="preserve">M2</w:t>
            </w:r>
          </w:p>
        </w:tc>
        <w:tc>
          <w:tcPr/>
          <w:p>
            <w:pPr>
              <w:pStyle w:val="Compact"/>
              <w:jc w:val="right"/>
            </w:pPr>
            <w:r>
              <w:t xml:space="preserve">16.81%</w:t>
            </w:r>
          </w:p>
        </w:tc>
        <w:tc>
          <w:tcPr/>
          <w:p>
            <w:pPr>
              <w:pStyle w:val="Compact"/>
              <w:jc w:val="right"/>
            </w:pPr>
            <w:r>
              <w:t xml:space="preserve">12.68%</w:t>
            </w:r>
          </w:p>
        </w:tc>
        <w:tc>
          <w:tcPr/>
          <w:p>
            <w:pPr>
              <w:pStyle w:val="Compact"/>
              <w:jc w:val="right"/>
            </w:pPr>
            <w:r>
              <w:t xml:space="preserve">14.48%</w:t>
            </w:r>
          </w:p>
        </w:tc>
        <w:tc>
          <w:tcPr/>
          <w:p>
            <w:pPr>
              <w:pStyle w:val="Compact"/>
              <w:jc w:val="right"/>
            </w:pPr>
            <w:r>
              <w:t xml:space="preserve">10.19%</w:t>
            </w:r>
          </w:p>
        </w:tc>
        <w:tc>
          <w:tcPr/>
          <w:p>
            <w:pPr>
              <w:pStyle w:val="Compact"/>
              <w:jc w:val="right"/>
            </w:pPr>
            <w:r>
              <w:t xml:space="preserve">12.40%</w:t>
            </w:r>
          </w:p>
        </w:tc>
        <w:tc>
          <w:tcPr/>
          <w:p>
            <w:pPr>
              <w:pStyle w:val="Compact"/>
            </w:pPr>
            <w:r>
              <w:t xml:space="preserve">Fail</w:t>
            </w:r>
          </w:p>
        </w:tc>
      </w:tr>
      <w:tr>
        <w:tc>
          <w:tcPr/>
          <w:p>
            <w:pPr>
              <w:pStyle w:val="Compact"/>
            </w:pPr>
            <w:r>
              <w:t xml:space="preserve">M4</w:t>
            </w:r>
          </w:p>
        </w:tc>
        <w:tc>
          <w:tcPr/>
          <w:p>
            <w:pPr>
              <w:pStyle w:val="Compact"/>
              <w:jc w:val="right"/>
            </w:pPr>
            <w:r>
              <w:t xml:space="preserve">16.14%</w:t>
            </w:r>
          </w:p>
        </w:tc>
        <w:tc>
          <w:tcPr/>
          <w:p>
            <w:pPr>
              <w:pStyle w:val="Compact"/>
              <w:jc w:val="right"/>
            </w:pPr>
            <w:r>
              <w:t xml:space="preserve">9.32%</w:t>
            </w:r>
          </w:p>
        </w:tc>
        <w:tc>
          <w:tcPr/>
          <w:p>
            <w:pPr>
              <w:pStyle w:val="Compact"/>
              <w:jc w:val="right"/>
            </w:pPr>
            <w:r>
              <w:t xml:space="preserve">9.92%</w:t>
            </w:r>
          </w:p>
        </w:tc>
        <w:tc>
          <w:tcPr/>
          <w:p>
            <w:pPr>
              <w:pStyle w:val="Compact"/>
              <w:jc w:val="right"/>
            </w:pPr>
            <w:r>
              <w:t xml:space="preserve">9.80%</w:t>
            </w:r>
          </w:p>
        </w:tc>
        <w:tc>
          <w:tcPr/>
          <w:p>
            <w:pPr>
              <w:pStyle w:val="Compact"/>
              <w:jc w:val="right"/>
            </w:pPr>
            <w:r>
              <w:t xml:space="preserve">11.70%</w:t>
            </w:r>
          </w:p>
        </w:tc>
        <w:tc>
          <w:tcPr/>
          <w:p>
            <w:pPr>
              <w:pStyle w:val="Compact"/>
            </w:pPr>
            <w:r>
              <w:t xml:space="preserve">Fail</w:t>
            </w:r>
          </w:p>
        </w:tc>
      </w:tr>
      <w:tr>
        <w:tc>
          <w:tcPr/>
          <w:p>
            <w:pPr>
              <w:pStyle w:val="Compact"/>
            </w:pPr>
            <w:r>
              <w:t xml:space="preserve">M9</w:t>
            </w:r>
          </w:p>
        </w:tc>
        <w:tc>
          <w:tcPr/>
          <w:p>
            <w:pPr>
              <w:pStyle w:val="Compact"/>
              <w:jc w:val="right"/>
            </w:pPr>
            <w:r>
              <w:t xml:space="preserve">40.75%</w:t>
            </w:r>
          </w:p>
        </w:tc>
        <w:tc>
          <w:tcPr/>
          <w:p>
            <w:pPr>
              <w:pStyle w:val="Compact"/>
              <w:jc w:val="right"/>
            </w:pPr>
            <w:r>
              <w:t xml:space="preserve">29.84%</w:t>
            </w:r>
          </w:p>
        </w:tc>
        <w:tc>
          <w:tcPr/>
          <w:p>
            <w:pPr>
              <w:pStyle w:val="Compact"/>
              <w:jc w:val="right"/>
            </w:pPr>
            <w:r>
              <w:t xml:space="preserve">52.50%</w:t>
            </w:r>
          </w:p>
        </w:tc>
        <w:tc>
          <w:tcPr/>
          <w:p>
            <w:pPr>
              <w:pStyle w:val="Compact"/>
              <w:jc w:val="right"/>
            </w:pPr>
            <w:r>
              <w:t xml:space="preserve">32.93%</w:t>
            </w:r>
          </w:p>
        </w:tc>
        <w:tc>
          <w:tcPr/>
          <w:p>
            <w:pPr>
              <w:pStyle w:val="Compact"/>
              <w:jc w:val="right"/>
            </w:pPr>
            <w:r>
              <w:t xml:space="preserve">45.11%</w:t>
            </w:r>
          </w:p>
        </w:tc>
        <w:tc>
          <w:tcPr/>
          <w:p>
            <w:pPr>
              <w:pStyle w:val="Compact"/>
            </w:pPr>
            <w:r>
              <w:t xml:space="preserve">Fail</w:t>
            </w:r>
          </w:p>
        </w:tc>
      </w:tr>
    </w:tbl>
    <w:p>
      <w:pPr>
        <w:pStyle w:val="BodyText"/>
      </w:pPr>
      <w:r>
        <w:t xml:space="preserve">M4 has several individual metrics below 10%, but curve L2 and P99 still exceed the threshold, so the layer cannot be declared sufficient by selecting favorable metrics. M9 produces the largest errors, indicating that finite-charger competition and queueing are necessary mechanisms for time-resolved load, peak truncation, and tail power under high demand with scarce resources.</w:t>
      </w:r>
    </w:p>
    <w:p>
      <w:pPr>
        <w:pStyle w:val="CaptionedFigure"/>
      </w:pPr>
      <w:r>
        <w:drawing>
          <wp:inline>
            <wp:extent cx="5334000" cy="2708952"/>
            <wp:effectExtent b="0" l="0" r="0" t="0"/>
            <wp:docPr descr="Figure 1. Threshold-normalized fidelity sufficiency by anchor and representation." title="" id="33" name="Picture"/>
            <a:graphic>
              <a:graphicData uri="http://schemas.openxmlformats.org/drawingml/2006/picture">
                <pic:pic>
                  <pic:nvPicPr>
                    <pic:cNvPr descr="fig1_fidelity_sufficiency_thresholds.png" id="34" name="Picture"/>
                    <pic:cNvPicPr>
                      <a:picLocks noChangeArrowheads="1" noChangeAspect="1"/>
                    </pic:cNvPicPr>
                  </pic:nvPicPr>
                  <pic:blipFill>
                    <a:blip r:embed="rId32"/>
                    <a:stretch>
                      <a:fillRect/>
                    </a:stretch>
                  </pic:blipFill>
                  <pic:spPr bwMode="auto">
                    <a:xfrm>
                      <a:off x="0" y="0"/>
                      <a:ext cx="5334000" cy="2708952"/>
                    </a:xfrm>
                    <a:prstGeom prst="rect">
                      <a:avLst/>
                    </a:prstGeom>
                    <a:noFill/>
                    <a:ln w="9525">
                      <a:noFill/>
                      <a:headEnd/>
                      <a:tailEnd/>
                    </a:ln>
                  </pic:spPr>
                </pic:pic>
              </a:graphicData>
            </a:graphic>
          </wp:inline>
        </w:drawing>
      </w:r>
    </w:p>
    <w:p>
      <w:pPr>
        <w:pStyle w:val="ImageCaption"/>
      </w:pPr>
      <w:r>
        <w:t xml:space="preserve">Figure 1. Threshold-normalized fidelity sufficiency by anchor and representation.</w:t>
      </w:r>
    </w:p>
    <w:p>
      <w:pPr>
        <w:pStyle w:val="BodyText"/>
      </w:pPr>
      <w:r>
        <w:t xml:space="preserve">Figure 1. Threshold-normalized fidelity sufficiency. Each cell shows the most unfavorable upper 95% confidence bound divided by the frozen threshold; values no greater than one indicate that the criterion is met. Blue borders mark the minimum sufficient layers: F3 for energy planning and F4 for power trajectory.</w:t>
      </w:r>
    </w:p>
    <w:bookmarkEnd w:id="35"/>
    <w:bookmarkStart w:id="36" w:name="minimum-sufficient-layer"/>
    <w:p>
      <w:pPr>
        <w:pStyle w:val="Heading3"/>
      </w:pPr>
      <w:r>
        <w:t xml:space="preserve">5.5 Minimum sufficient layer</w:t>
      </w:r>
    </w:p>
    <w:p>
      <w:pPr>
        <w:pStyle w:val="FirstParagraph"/>
      </w:pPr>
      <w:r>
        <w:t xml:space="preserve">Under the frozen criteria,</w:t>
      </w:r>
      <w:r>
        <w:t xml:space="preserve"> </w:t>
      </w:r>
      <w:r>
        <w:rPr>
          <w:b/>
          <w:bCs/>
        </w:rPr>
        <w:t xml:space="preserve">F3 is the minimum sufficient layer for energy-planning outputs</w:t>
      </w:r>
      <w:r>
        <w:t xml:space="preserve">, and</w:t>
      </w:r>
      <w:r>
        <w:t xml:space="preserve"> </w:t>
      </w:r>
      <w:r>
        <w:rPr>
          <w:b/>
          <w:bCs/>
        </w:rPr>
        <w:t xml:space="preserve">F4 is the minimum sufficient layer for power-trajectory outputs</w:t>
      </w:r>
      <w:r>
        <w:t xml:space="preserve">. The result is not a universal ranking: state of charge mainly determines how much energy must be restored and at which nodes, while finite chargers determine when charging can occur, whether it can occur concurrently, and how peaks are truncated. The five layers are retained because each isolates a distinct mechanism; minimum sufficiency is defined relative to a specific output class.</w:t>
      </w:r>
    </w:p>
    <w:bookmarkEnd w:id="36"/>
    <w:bookmarkEnd w:id="37"/>
    <w:bookmarkStart w:id="38" w:name="discussion"/>
    <w:p>
      <w:pPr>
        <w:pStyle w:val="Heading2"/>
      </w:pPr>
      <w:r>
        <w:t xml:space="preserve">6. Discussion</w:t>
      </w:r>
    </w:p>
    <w:p>
      <w:pPr>
        <w:pStyle w:val="FirstParagraph"/>
      </w:pPr>
      <w:r>
        <w:t xml:space="preserve">The central finding is that minimum sufficient fidelity is output-specific. State-of-charge feasibility and task-feasibility rules determine the energy that must be restored and the nodes where restoration occurs; finite chargers determine when restoration occurs, whether it can be concurrent, and how peak power is truncated. These two mechanism groups should not be collapsed into a single model-quality scale.</w:t>
      </w:r>
    </w:p>
    <w:p>
      <w:pPr>
        <w:pStyle w:val="BodyText"/>
      </w:pPr>
      <w:r>
        <w:t xml:space="preserve">For energy-planning studies that require total charging energy or nodal energy shares, F3 is sufficient within the tested anchor space. For capacity, peak, and tail-power studies, F4 is required. The M9 high-demand and tight-charging anchor is the critical boundary: it produces the largest F3 power errors and the F3 energy error closest to the pre-registered threshold. Practitioners should therefore report the output, tolerance, operating regime, and accounting endpoint before selecting model fidelity.</w:t>
      </w:r>
    </w:p>
    <w:p>
      <w:pPr>
        <w:pStyle w:val="BodyText"/>
      </w:pPr>
      <w:r>
        <w:t xml:space="preserve">The non-coincidence result has a direct practical consequence. The mean load curve is a useful visualization but not a capacity statistic. Because run-level peaks exceed the mean-curve peak by 340–641 kW, infrastructure screening based on an averaged trajectory will understate peak exposure. A capacity analysis should preserve run-level stochastic peaks or use a specified upper-tail statistic.</w:t>
      </w:r>
    </w:p>
    <w:p>
      <w:pPr>
        <w:pStyle w:val="BodyText"/>
      </w:pPr>
      <w:r>
        <w:t xml:space="preserve">The result also shows that model fidelity cannot substitute for uncertain aircraft-performance assumptions. The lower-energy boundary changes aggregate energy more than the tested spatial redistributions, whereas batching, state-of-charge thresholds, and charger competition primarily shape timing. Infrastructure studies should therefore distinguish energy-source uncertainty from operational-synchronization uncertainty.</w:t>
      </w:r>
    </w:p>
    <w:bookmarkEnd w:id="38"/>
    <w:bookmarkStart w:id="39" w:name="limitations"/>
    <w:p>
      <w:pPr>
        <w:pStyle w:val="Heading2"/>
      </w:pPr>
      <w:r>
        <w:t xml:space="preserve">7. Limitations</w:t>
      </w:r>
    </w:p>
    <w:p>
      <w:pPr>
        <w:pStyle w:val="FirstParagraph"/>
      </w:pPr>
      <w:r>
        <w:t xml:space="preserve">This is a stationary peak-window mechanism experiment, not an operational forecast. The Poisson demand process does not represent time-of-day peaking, reservations, cancellations, multimodal access, or correlated origin-destination shocks. The nodes are abstract and do not represent a specific metropolitan network.</w:t>
      </w:r>
    </w:p>
    <w:p>
      <w:pPr>
        <w:pStyle w:val="BodyText"/>
      </w:pPr>
      <w:r>
        <w:t xml:space="preserve">The one-minute clock does not resolve sub-minute ordering, electrical transients, or charger-control dynamics. Aircraft performance uses linear route-energy relations and a fixed usable capacity; weather, payload, battery temperature, degradation, nonlinear charging, and aircraft heterogeneity are omitted. Infrastructure is represented as finite identical chargers without feeder limits, transformer constraints, voltage, or smart charging.</w:t>
      </w:r>
    </w:p>
    <w:p>
      <w:pPr>
        <w:pStyle w:val="BodyText"/>
      </w:pPr>
      <w:r>
        <w:t xml:space="preserve">The fidelity conclusions depend on frozen thresholds, four anchor scenarios, and one abstract network. The M9 energy error of 4.539% is close to the 5% boundary, so the result should not be extrapolated to stronger charging scarcity without re-running the audit. F4 is a mechanism reference, not a validated digital twin or electrical-design optimization.</w:t>
      </w:r>
    </w:p>
    <w:bookmarkEnd w:id="39"/>
    <w:bookmarkStart w:id="40" w:name="conclusions"/>
    <w:p>
      <w:pPr>
        <w:pStyle w:val="Heading2"/>
      </w:pPr>
      <w:r>
        <w:t xml:space="preserve">8. Conclusions</w:t>
      </w:r>
    </w:p>
    <w:p>
      <w:pPr>
        <w:pStyle w:val="FirstParagraph"/>
      </w:pPr>
      <w:r>
        <w:t xml:space="preserve">This paper formalizes a pre-registered nested-model audit for selecting operational detail in endogenous vertiport charging-load models. Stochastic arrivals become power through queue-triggered batching, finite fleet circulation, service-required empty returns, state-of-charge feasibility, and finite charger competition. Shared random inputs, conservation checks, and explicit error criteria make the representation comparison traceable.</w:t>
      </w:r>
    </w:p>
    <w:p>
      <w:pPr>
        <w:pStyle w:val="BodyText"/>
      </w:pPr>
      <w:r>
        <w:t xml:space="preserve">Under the frozen criteria, F3 is the minimum sufficient layer for energy-planning outputs across the four anchors, while F4 is required for time-resolved power, peak, and tail-power outputs. Fidelity error is largest when high demand coincides with tight charging. The result supports a practical rule: choose operational fidelity jointly with the decision output, tolerance, operating regime, and accounting endpoint, and preserve run-level peaks when sizing infrastructure.</w:t>
      </w:r>
    </w:p>
    <w:bookmarkEnd w:id="40"/>
    <w:bookmarkStart w:id="41" w:name="author-contributions"/>
    <w:p>
      <w:pPr>
        <w:pStyle w:val="Heading2"/>
      </w:pPr>
      <w:r>
        <w:t xml:space="preserve">Author contributions</w:t>
      </w:r>
    </w:p>
    <w:p>
      <w:pPr>
        <w:pStyle w:val="FirstParagraph"/>
      </w:pPr>
      <w:r>
        <w:t xml:space="preserve">Chuming Hu: conceptualization, methodology, software, formal analysis, writing, and visualization.</w:t>
      </w:r>
    </w:p>
    <w:bookmarkEnd w:id="41"/>
    <w:bookmarkStart w:id="42" w:name="declaration-of-competing-interest"/>
    <w:p>
      <w:pPr>
        <w:pStyle w:val="Heading2"/>
      </w:pPr>
      <w:r>
        <w:t xml:space="preserve">Declaration of competing interest</w:t>
      </w:r>
    </w:p>
    <w:p>
      <w:pPr>
        <w:pStyle w:val="FirstParagraph"/>
      </w:pPr>
      <w:r>
        <w:t xml:space="preserve">The author declares no competing interests.</w:t>
      </w:r>
    </w:p>
    <w:bookmarkEnd w:id="42"/>
    <w:bookmarkStart w:id="43" w:name="data-and-code-availability"/>
    <w:p>
      <w:pPr>
        <w:pStyle w:val="Heading2"/>
      </w:pPr>
      <w:r>
        <w:t xml:space="preserve">Data and code availability</w:t>
      </w:r>
    </w:p>
    <w:p>
      <w:pPr>
        <w:pStyle w:val="FirstParagraph"/>
      </w:pPr>
      <w:r>
        <w:t xml:space="preserve">The simulation scripts, configuration files, conservation checks, and aggregated results are available from the corresponding author upon request. Reproducibility records include seed identifiers, conservation residuals, and the deterministic re-run protocol.</w:t>
      </w:r>
    </w:p>
    <w:bookmarkEnd w:id="43"/>
    <w:bookmarkStart w:id="44" w:name="references"/>
    <w:p>
      <w:pPr>
        <w:pStyle w:val="Heading2"/>
      </w:pPr>
      <w:r>
        <w:t xml:space="preserve">References</w:t>
      </w:r>
    </w:p>
    <w:p>
      <w:pPr>
        <w:pStyle w:val="Compact"/>
        <w:numPr>
          <w:ilvl w:val="0"/>
          <w:numId w:val="1003"/>
        </w:numPr>
      </w:pPr>
      <w:r>
        <w:t xml:space="preserve">Taye, A.G., Pradeep, P., Wei, P., Jones, J.C., Bonin, T., Eberle, D., 2024. Energy demand analysis for eVTOL charging stations in urban air mobility. AIAA AVIATION FORUM AND ASCEND 2024. https://doi.org/10.2514/6.2024-4627</w:t>
      </w:r>
    </w:p>
    <w:p>
      <w:pPr>
        <w:pStyle w:val="Compact"/>
        <w:numPr>
          <w:ilvl w:val="0"/>
          <w:numId w:val="1003"/>
        </w:numPr>
      </w:pPr>
      <w:r>
        <w:t xml:space="preserve">Onat, E.B., Bulusu, V., Chakrabarty, A., Hansen, M., Sengupta, R., Sridhar, B., 2024. Evaluating eVTOL network performance and fleet dynamics through simulation-based analysis. AIAA SCITECH 2024 Forum. https://doi.org/10.2514/6.2024-0336</w:t>
      </w:r>
    </w:p>
    <w:p>
      <w:pPr>
        <w:pStyle w:val="Compact"/>
        <w:numPr>
          <w:ilvl w:val="0"/>
          <w:numId w:val="1003"/>
        </w:numPr>
      </w:pPr>
      <w:r>
        <w:t xml:space="preserve">Li, B., Zhang, Y., 2026. AAMSim: a comprehensive simulator for advanced air mobility operations and planning. Transportation Research Part C: Emerging Technologies, in press, 105858. https://doi.org/10.1016/j.trc.2026.105858</w:t>
      </w:r>
    </w:p>
    <w:p>
      <w:pPr>
        <w:pStyle w:val="Compact"/>
        <w:numPr>
          <w:ilvl w:val="0"/>
          <w:numId w:val="1003"/>
        </w:numPr>
      </w:pPr>
      <w:r>
        <w:t xml:space="preserve">Wu, J., Cao, S., Hansen, M., González, M.C., 2025. Integrating urban air mobility into the power grid through smart charging solutions. Transportation Research Part C: Emerging Technologies 179, 105281. https://doi.org/10.1016/j.trc.2025.105281</w:t>
      </w:r>
    </w:p>
    <w:p>
      <w:pPr>
        <w:pStyle w:val="Compact"/>
        <w:numPr>
          <w:ilvl w:val="0"/>
          <w:numId w:val="1003"/>
        </w:numPr>
      </w:pPr>
      <w:r>
        <w:t xml:space="preserve">Cheilas, D., Bindner, H.W., Weckesser, T., 2025. Impact of limited information on estimating aggregated electric vehicle loading: A distribution system operator perspective. Sustainable Energy, Grids and Networks 44, 102012. https://doi.org/10.1016/j.segan.2025.102012</w:t>
      </w:r>
    </w:p>
    <w:p>
      <w:pPr>
        <w:pStyle w:val="Compact"/>
        <w:numPr>
          <w:ilvl w:val="0"/>
          <w:numId w:val="1003"/>
        </w:numPr>
      </w:pPr>
      <w:r>
        <w:t xml:space="preserve">Priesmann, J., Nolting, L., Praktiknjo, A., 2019. Are complex energy system models more accurate? An intra-model comparison of power system optimization models. Applied Energy 255, 113783. https://doi.org/10.1016/j.apenergy.2019.113783</w:t>
      </w:r>
    </w:p>
    <w:p>
      <w:pPr>
        <w:pStyle w:val="Compact"/>
        <w:numPr>
          <w:ilvl w:val="0"/>
          <w:numId w:val="1003"/>
        </w:numPr>
      </w:pPr>
      <w:r>
        <w:t xml:space="preserve">Sripad, S., Viswanathan, V., 2021. The promise of energy-efficient battery-powered urban aircraft. Proceedings of the National Academy of Sciences 118, e2111164118. https://doi.org/10.1073/pnas.2111164118</w:t>
      </w:r>
    </w:p>
    <w:p>
      <w:pPr>
        <w:pStyle w:val="Compact"/>
        <w:numPr>
          <w:ilvl w:val="0"/>
          <w:numId w:val="1003"/>
        </w:numPr>
      </w:pPr>
      <w:r>
        <w:t xml:space="preserve">Kohlman, L.W., Patterson, M.D., 2018. System-level urban air mobility transportation modeling and determination of energy-related constraints. 2018 Aviation Technology, Integration, and Operations Conference. https://doi.org/10.2514/6.2018-3677</w:t>
      </w:r>
    </w:p>
    <w:p>
      <w:pPr>
        <w:pStyle w:val="Compact"/>
        <w:numPr>
          <w:ilvl w:val="0"/>
          <w:numId w:val="1003"/>
        </w:numPr>
      </w:pPr>
      <w:r>
        <w:t xml:space="preserve">Li, S., Egorov, M., Kochenderfer, M.J., 2020. Analysis of fleet management and infrastructure constraints in on-demand urban air mobility operations. AIAA AVIATION 2020 Forum. https://doi.org/10.2514/6.2020-2907</w:t>
      </w:r>
    </w:p>
    <w:p>
      <w:pPr>
        <w:pStyle w:val="Compact"/>
        <w:numPr>
          <w:ilvl w:val="0"/>
          <w:numId w:val="1003"/>
        </w:numPr>
      </w:pPr>
      <w:r>
        <w:t xml:space="preserve">Naser, F., Peinecke, N., Schuchardt, B.I., 2021. Air taxis vs. taxicabs: a simulation study on the efficiency of UAM. AIAA AVIATION 2021 Forum. https://doi.org/10.2514/6.2021-3202</w:t>
      </w:r>
    </w:p>
    <w:p>
      <w:pPr>
        <w:pStyle w:val="Compact"/>
        <w:numPr>
          <w:ilvl w:val="0"/>
          <w:numId w:val="1003"/>
        </w:numPr>
      </w:pPr>
      <w:r>
        <w:t xml:space="preserve">Wirtz, M., Hahn, M., Schreiber, T., Müller, D., 2021. Design optimization of multi-energy systems using mixed-integer linear programming: Which model complexity and level of detail is sufficient? Energy Conversion and Management 240, 114249. https://doi.org/10.1016/j.enconman.2021.114249</w:t>
      </w:r>
    </w:p>
    <w:p>
      <w:pPr>
        <w:pStyle w:val="Compact"/>
        <w:numPr>
          <w:ilvl w:val="0"/>
          <w:numId w:val="1003"/>
        </w:numPr>
      </w:pPr>
      <w:r>
        <w:t xml:space="preserve">Gils, H.C., Gardian, H., Kittel, M., et al., 2022. Modeling flexibility in energy systems—comparison of power sector models based on simplified test cases. Renewable and Sustainable Energy Reviews 158, 111995. https://doi.org/10.1016/j.rser.2021.111995</w:t>
      </w:r>
    </w:p>
    <w:p>
      <w:pPr>
        <w:pStyle w:val="Compact"/>
        <w:numPr>
          <w:ilvl w:val="0"/>
          <w:numId w:val="1003"/>
        </w:numPr>
      </w:pPr>
      <w:r>
        <w:t xml:space="preserve">Daganzo, C.F., Gayah, V.V., Gonzales, E.J., 2012. The potential of parsimonious models for understanding large scale transportation systems and answering big picture questions. EURO Journal on Transportation and Logistics 1, 47–65. https://doi.org/10.1007/s13676-012-0003-z</w:t>
      </w:r>
    </w:p>
    <w:p>
      <w:pPr>
        <w:pStyle w:val="Compact"/>
        <w:numPr>
          <w:ilvl w:val="0"/>
          <w:numId w:val="1003"/>
        </w:numPr>
      </w:pPr>
      <w:r>
        <w:t xml:space="preserve">Peinturier, L., Wallom, D., 2025. Building energy simulation calibration accuracy and modelling complexity: Implications for energy performance improvement. Energy and Buildings, 115971. https://doi.org/10.1016/j.enbuild.2025.115971</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2026-09-09T01:17:47Z</dcterms:created>
  <dcterms:modified xsi:type="dcterms:W3CDTF">2026-09-09T01:17:47Z</dcterms:modified>
</cp:coreProperties>
</file>

<file path=docProps/custom.xml><?xml version="1.0" encoding="utf-8"?>
<Properties xmlns="http://schemas.openxmlformats.org/officeDocument/2006/custom-properties" xmlns:vt="http://schemas.openxmlformats.org/officeDocument/2006/docPropsVTypes"/>
</file>