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面向输出的运行保真度垂直起降场内生充电负荷模型的嵌套审计"/>
    <w:p>
      <w:pPr>
        <w:pStyle w:val="Heading1"/>
      </w:pPr>
      <w:r>
        <w:rPr>
          <w:rFonts w:hint="eastAsia"/>
        </w:rPr>
        <w:t xml:space="preserve">面向输出的运行保真度：垂直起降场内生充电负荷模型的嵌套审计</w:t>
      </w:r>
    </w:p>
    <w:p>
      <w:pPr>
        <w:pStyle w:val="FirstParagraph"/>
      </w:pPr>
      <w:r>
        <w:rPr>
          <w:rFonts w:hint="eastAsia"/>
        </w:rPr>
        <w:t xml:space="preserve">胡楚铭</w:t>
      </w:r>
    </w:p>
    <w:p>
      <w:pPr>
        <w:pStyle w:val="BodyText"/>
      </w:pPr>
      <w:r>
        <w:rPr>
          <w:rFonts w:hint="eastAsia"/>
          <w:i/>
          <w:iCs/>
        </w:rPr>
        <w:t xml:space="preserve">拟投稿：Transportation</w:t>
      </w:r>
      <w:r>
        <w:rPr>
          <w:i/>
          <w:iCs/>
        </w:rPr>
        <w:t xml:space="preserve"> Research Part C: Emerging </w:t>
      </w:r>
      <w:r>
        <w:rPr>
          <w:rFonts w:hint="eastAsia"/>
          <w:i/>
          <w:iCs/>
        </w:rPr>
        <w:t xml:space="preserve">Technologies（中文工作稿）</w:t>
      </w:r>
    </w:p>
    <w:bookmarkStart w:id="9" w:name="亮点"/>
    <w:p>
      <w:pPr>
        <w:pStyle w:val="Heading2"/>
      </w:pPr>
      <w:r>
        <w:rPr>
          <w:rFonts w:hint="eastAsia"/>
        </w:rPr>
        <w:t xml:space="preserve">亮点</w:t>
      </w:r>
    </w:p>
    <w:p>
      <w:pPr>
        <w:pStyle w:val="Compact"/>
        <w:numPr>
          <w:ilvl w:val="0"/>
          <w:numId w:val="1001"/>
        </w:numPr>
      </w:pPr>
      <w:r>
        <w:rPr>
          <w:rFonts w:hint="eastAsia"/>
        </w:rPr>
        <w:t xml:space="preserve">五层嵌套运行模型分别隔离乘客成批、有限机队、荷电状态可行性与有限充电桩竞争。</w:t>
      </w:r>
    </w:p>
    <w:p>
      <w:pPr>
        <w:pStyle w:val="Compact"/>
        <w:numPr>
          <w:ilvl w:val="0"/>
          <w:numId w:val="1001"/>
        </w:numPr>
      </w:pPr>
      <w:r>
        <w:rPr>
          <w:rFonts w:hint="eastAsia"/>
        </w:rPr>
        <w:t xml:space="preserve">在预先冻结的</w:t>
      </w:r>
      <w:r>
        <w:t xml:space="preserve"> 5% </w:t>
      </w:r>
      <w:r>
        <w:rPr>
          <w:rFonts w:hint="eastAsia"/>
        </w:rPr>
        <w:t xml:space="preserve">能量门限和</w:t>
      </w:r>
      <w:r>
        <w:t xml:space="preserve"> 10% </w:t>
      </w:r>
      <w:r>
        <w:rPr>
          <w:rFonts w:hint="eastAsia"/>
        </w:rPr>
        <w:t xml:space="preserve">功率门限下，F3</w:t>
      </w:r>
      <w:r>
        <w:t xml:space="preserve"> </w:t>
      </w:r>
      <w:r>
        <w:rPr>
          <w:rFonts w:hint="eastAsia"/>
        </w:rPr>
        <w:t xml:space="preserve">足以用于能量规划，时间分辨功率分析必须使用</w:t>
      </w:r>
      <w:r>
        <w:t xml:space="preserve"> F4。</w:t>
      </w:r>
    </w:p>
    <w:p>
      <w:pPr>
        <w:pStyle w:val="Compact"/>
        <w:numPr>
          <w:ilvl w:val="0"/>
          <w:numId w:val="1001"/>
        </w:numPr>
      </w:pPr>
      <w:r>
        <w:rPr>
          <w:rFonts w:hint="eastAsia"/>
        </w:rPr>
        <w:t xml:space="preserve">高需求与充电资源紧张同时出现时，模型保真度误差最大。</w:t>
      </w:r>
    </w:p>
    <w:p>
      <w:pPr>
        <w:pStyle w:val="Compact"/>
        <w:numPr>
          <w:ilvl w:val="0"/>
          <w:numId w:val="1001"/>
        </w:numPr>
      </w:pPr>
      <w:r>
        <w:rPr>
          <w:rFonts w:hint="eastAsia"/>
        </w:rPr>
        <w:t xml:space="preserve">逐次运行峰值比平均负荷曲线峰值高</w:t>
      </w:r>
      <w:r>
        <w:t xml:space="preserve"> 340–641 </w:t>
      </w:r>
      <w:r>
        <w:rPr>
          <w:rFonts w:hint="eastAsia"/>
        </w:rPr>
        <w:t xml:space="preserve">kW，先平均后取峰会低估容量暴露。</w:t>
      </w:r>
    </w:p>
    <w:bookmarkEnd w:id="9"/>
    <w:bookmarkStart w:id="10" w:name="摘要"/>
    <w:p>
      <w:pPr>
        <w:pStyle w:val="Heading2"/>
      </w:pPr>
      <w:r>
        <w:rPr>
          <w:rFonts w:hint="eastAsia"/>
        </w:rPr>
        <w:t xml:space="preserve">摘要</w:t>
      </w:r>
    </w:p>
    <w:p>
      <w:pPr>
        <w:pStyle w:val="FirstParagraph"/>
      </w:pPr>
      <w:r>
        <w:rPr>
          <w:rFonts w:hint="eastAsia"/>
        </w:rPr>
        <w:t xml:space="preserve">城市空中交通研究正在越来越多地耦合乘客需求、航空器运行、电池状态与充电资源，但模型精细度往往按经验选择，而不是由具体输出要求决定。本文提出一套嵌套模型审计方法，用于在内生垂直起降场充电负荷模型中选择运行细节。模型为</w:t>
      </w:r>
      <w:r>
        <w:t xml:space="preserve"> 1 </w:t>
      </w:r>
      <w:r>
        <w:rPr>
          <w:rFonts w:hint="eastAsia"/>
        </w:rPr>
        <w:t xml:space="preserve">分钟分辨率随机仿真，包含</w:t>
      </w:r>
      <w:r>
        <w:t xml:space="preserve"> 4 </w:t>
      </w:r>
      <w:r>
        <w:rPr>
          <w:rFonts w:hint="eastAsia"/>
        </w:rPr>
        <w:t xml:space="preserve">个需求区垂直起降场和</w:t>
      </w:r>
      <w:r>
        <w:t xml:space="preserve"> 1 </w:t>
      </w:r>
      <w:r>
        <w:rPr>
          <w:rFonts w:hint="eastAsia"/>
        </w:rPr>
        <w:t xml:space="preserve">个机场垂直起降场，并设置五层嵌套表征：F0</w:t>
      </w:r>
      <w:r>
        <w:t xml:space="preserve"> </w:t>
      </w:r>
      <w:r>
        <w:rPr>
          <w:rFonts w:hint="eastAsia"/>
        </w:rPr>
        <w:t xml:space="preserve">乘客—能量直接换算、F1</w:t>
      </w:r>
      <w:r>
        <w:t xml:space="preserve"> </w:t>
      </w:r>
      <w:r>
        <w:rPr>
          <w:rFonts w:hint="eastAsia"/>
        </w:rPr>
        <w:t xml:space="preserve">队列触发航班生成、F2</w:t>
      </w:r>
      <w:r>
        <w:t xml:space="preserve"> </w:t>
      </w:r>
      <w:r>
        <w:rPr>
          <w:rFonts w:hint="eastAsia"/>
        </w:rPr>
        <w:t xml:space="preserve">有限机队周转、F3</w:t>
      </w:r>
      <w:r>
        <w:t xml:space="preserve"> </w:t>
      </w:r>
      <w:r>
        <w:rPr>
          <w:rFonts w:hint="eastAsia"/>
        </w:rPr>
        <w:t xml:space="preserve">连续荷电状态可行性、F4</w:t>
      </w:r>
      <w:r>
        <w:t xml:space="preserve"> </w:t>
      </w:r>
      <w:r>
        <w:rPr>
          <w:rFonts w:hint="eastAsia"/>
        </w:rPr>
        <w:t xml:space="preserve">有限物理充电桩。所有模型共享同一组随机输入，并以预先冻结的误差容限和配对</w:t>
      </w:r>
      <w:r>
        <w:t xml:space="preserve"> 95% </w:t>
      </w:r>
      <w:r>
        <w:rPr>
          <w:rFonts w:hint="eastAsia"/>
        </w:rPr>
        <w:t xml:space="preserve">置信区间上端进行比较。在四个锚点情景中，F3</w:t>
      </w:r>
      <w:r>
        <w:t xml:space="preserve"> </w:t>
      </w:r>
      <w:r>
        <w:rPr>
          <w:rFonts w:hint="eastAsia"/>
        </w:rPr>
        <w:t xml:space="preserve">通过能量规划判据：总电量误差置信区间上端为</w:t>
      </w:r>
      <w:r>
        <w:t xml:space="preserve"> </w:t>
      </w:r>
      <w:r>
        <w:rPr>
          <w:rFonts w:hint="eastAsia"/>
        </w:rPr>
        <w:t xml:space="preserve">0.000%–4.539%，节点电量份额</w:t>
      </w:r>
      <w:r>
        <w:t xml:space="preserve"> L1 </w:t>
      </w:r>
      <w:r>
        <w:rPr>
          <w:rFonts w:hint="eastAsia"/>
        </w:rPr>
        <w:t xml:space="preserve">距离为</w:t>
      </w:r>
      <w:r>
        <w:t xml:space="preserve"> 0.0095–0.0706。F2 </w:t>
      </w:r>
      <w:r>
        <w:rPr>
          <w:rFonts w:hint="eastAsia"/>
        </w:rPr>
        <w:t xml:space="preserve">两项判据均未通过，说明荷电状态、安全储备与任务可行性机制不能从能量规划模型中删除。所有简化层均未通过功率轨迹判据；F3</w:t>
      </w:r>
      <w:r>
        <w:t xml:space="preserve"> </w:t>
      </w:r>
      <w:r>
        <w:rPr>
          <w:rFonts w:hint="eastAsia"/>
        </w:rPr>
        <w:t xml:space="preserve">的曲线</w:t>
      </w:r>
      <w:r>
        <w:t xml:space="preserve"> L2 </w:t>
      </w:r>
      <w:r>
        <w:rPr>
          <w:rFonts w:hint="eastAsia"/>
        </w:rPr>
        <w:t xml:space="preserve">误差为</w:t>
      </w:r>
      <w:r>
        <w:t xml:space="preserve"> </w:t>
      </w:r>
      <w:r>
        <w:rPr>
          <w:rFonts w:hint="eastAsia"/>
        </w:rPr>
        <w:t xml:space="preserve">16.14%–40.75%，高需求紧充电情景下峰值误差达到</w:t>
      </w:r>
      <w:r>
        <w:t xml:space="preserve"> </w:t>
      </w:r>
      <w:r>
        <w:rPr>
          <w:rFonts w:hint="eastAsia"/>
        </w:rPr>
        <w:t xml:space="preserve">52.50%。因此，峰值、尾部功率和时间分辨负荷分析的最低充分层为</w:t>
      </w:r>
      <w:r>
        <w:t xml:space="preserve"> </w:t>
      </w:r>
      <w:r>
        <w:rPr>
          <w:rFonts w:hint="eastAsia"/>
        </w:rPr>
        <w:t xml:space="preserve">F4。最低充分保真度取决于输出目标，而不是模型层级本身的性质。</w:t>
      </w:r>
    </w:p>
    <w:p>
      <w:pPr>
        <w:pStyle w:val="BodyText"/>
      </w:pPr>
      <w:r>
        <w:rPr>
          <w:rFonts w:hint="eastAsia"/>
          <w:b/>
          <w:bCs/>
        </w:rPr>
        <w:t xml:space="preserve">关键词</w:t>
      </w:r>
      <w:r>
        <w:rPr>
          <w:rFonts w:hint="eastAsia"/>
        </w:rPr>
        <w:t xml:space="preserve">：城市空中交通；eVTOL；垂直起降场充电；内生负荷；运行保真度；荷电状态；模型聚合</w:t>
      </w:r>
    </w:p>
    <w:bookmarkEnd w:id="10"/>
    <w:bookmarkStart w:id="11" w:name="引言"/>
    <w:p>
      <w:pPr>
        <w:pStyle w:val="Heading2"/>
      </w:pPr>
      <w:r>
        <w:t xml:space="preserve">1. </w:t>
      </w:r>
      <w:r>
        <w:rPr>
          <w:rFonts w:hint="eastAsia"/>
        </w:rPr>
        <w:t xml:space="preserve">引言</w:t>
      </w:r>
    </w:p>
    <w:p>
      <w:pPr>
        <w:pStyle w:val="FirstParagraph"/>
      </w:pPr>
      <w:r>
        <w:rPr>
          <w:rFonts w:hint="eastAsia"/>
        </w:rPr>
        <w:t xml:space="preserve">垂直起降场充电需求由运行过程产生。乘客到达必须聚合成可服务批次，航空器必须出现在正确节点并保有足够荷电状态，充电规则必须触发，物理充电桩必须空闲。这些耦合状态共同决定功率在何时、何地被取用。仅由乘客人数或航班能耗直接生成的负荷曲线，可能在保留总电量的同时把功率放在错误时间，从而影响基础设施容量与电网接入评估。</w:t>
      </w:r>
    </w:p>
    <w:p>
      <w:pPr>
        <w:pStyle w:val="BodyText"/>
      </w:pPr>
      <w:r>
        <w:rPr>
          <w:rFonts w:hint="eastAsia"/>
        </w:rPr>
        <w:t xml:space="preserve">因此，模型选择问题不是“哪个表征在一般意义上最真实”，而是“针对某一输出，需要保留哪些机制”。总电量、节点电量份额、峰值功率、尾部功率、爬坡率和分钟级负荷轨迹是不同的规划对象。能量规划可以接受较粗的运行细节，而容量评估和电网分析需要物理并发与排队。</w:t>
      </w:r>
    </w:p>
    <w:p>
      <w:pPr>
        <w:pStyle w:val="BodyText"/>
      </w:pPr>
      <w:r>
        <w:rPr>
          <w:rFonts w:hint="eastAsia"/>
        </w:rPr>
        <w:t xml:space="preserve">已有城市空中交通研究已经将运行与充电耦合起来。基于任务的充电需求研究从航班计划、路径和荷电状态相关充电行为估计场站负荷</w:t>
      </w:r>
      <w:r>
        <w:t xml:space="preserve"> </w:t>
      </w:r>
      <w:r>
        <w:rPr>
          <w:rFonts w:hint="eastAsia"/>
        </w:rPr>
        <w:t xml:space="preserve">[1]；综合仿真平台同时表示乘客处理、航空器状态、能量与充电</w:t>
      </w:r>
      <w:r>
        <w:t xml:space="preserve"> </w:t>
      </w:r>
      <w:r>
        <w:rPr>
          <w:rFonts w:hint="eastAsia"/>
        </w:rPr>
        <w:t xml:space="preserve">[2,3]；电力系统研究将调度和充电窗口接入电网优化</w:t>
      </w:r>
      <w:r>
        <w:t xml:space="preserve"> </w:t>
      </w:r>
      <w:r>
        <w:rPr>
          <w:rFonts w:hint="eastAsia"/>
        </w:rPr>
        <w:t xml:space="preserve">[4]。这些工作证明运行耦合具有重要意义，但尚未形成一套系统的程序，用于判断特定输出下需要多少耦合。</w:t>
      </w:r>
    </w:p>
    <w:p>
      <w:pPr>
        <w:pStyle w:val="BodyText"/>
      </w:pPr>
      <w:r>
        <w:rPr>
          <w:rFonts w:hint="eastAsia"/>
        </w:rPr>
        <w:t xml:space="preserve">电动汽车聚合研究表明，简化表征可能对部分输出足够准确，对另一部分输出产生较大误差</w:t>
      </w:r>
      <w:r>
        <w:t xml:space="preserve"> </w:t>
      </w:r>
      <w:r>
        <w:rPr>
          <w:rFonts w:hint="eastAsia"/>
        </w:rPr>
        <w:t xml:space="preserve">[5,6]。垂直起降场充电负荷也存在同样问题，但已有城市空中交通充电文献还缺少等价的运行保真度审计。本文针对这一缺口开展嵌套模型实验，提出预先注册的协议，用于识别最低充分运行层，并将该协议应用于机场接驳型垂直起降场网络。</w:t>
      </w:r>
    </w:p>
    <w:bookmarkEnd w:id="11"/>
    <w:bookmarkStart w:id="15" w:name="相关工作"/>
    <w:p>
      <w:pPr>
        <w:pStyle w:val="Heading2"/>
      </w:pPr>
      <w:r>
        <w:t xml:space="preserve">2. </w:t>
      </w:r>
      <w:r>
        <w:rPr>
          <w:rFonts w:hint="eastAsia"/>
        </w:rPr>
        <w:t xml:space="preserve">相关工作</w:t>
      </w:r>
    </w:p>
    <w:bookmarkStart w:id="12" w:name="能量与充电表征"/>
    <w:p>
      <w:pPr>
        <w:pStyle w:val="Heading3"/>
      </w:pPr>
      <w:r>
        <w:t xml:space="preserve">2.1 </w:t>
      </w:r>
      <w:r>
        <w:rPr>
          <w:rFonts w:hint="eastAsia"/>
        </w:rPr>
        <w:t xml:space="preserve">能量与充电表征</w:t>
      </w:r>
    </w:p>
    <w:p>
      <w:pPr>
        <w:pStyle w:val="FirstParagraph"/>
      </w:pPr>
      <w:r>
        <w:rPr>
          <w:rFonts w:hint="eastAsia"/>
        </w:rPr>
        <w:t xml:space="preserve">航空器能量模型决定最终需要补充多少能量。电池动力城市航空器在合适任务下具有能效优势，但估计结果对设计、飞行阶段、航程、载荷和备用假设敏感</w:t>
      </w:r>
      <w:r>
        <w:t xml:space="preserve"> </w:t>
      </w:r>
      <w:r>
        <w:rPr>
          <w:rFonts w:hint="eastAsia"/>
        </w:rPr>
        <w:t xml:space="preserve">[7]。本文采用从相关证据标定得到的透明降阶任务能量模型，而不是使用某型认证航空器参数。载客飞行与空机飞行采用不同的线性能量—距离关系，并保留一个低能量映射作为边界情景。</w:t>
      </w:r>
    </w:p>
    <w:p>
      <w:pPr>
        <w:pStyle w:val="BodyText"/>
      </w:pPr>
      <w:r>
        <w:rPr>
          <w:rFonts w:hint="eastAsia"/>
        </w:rPr>
        <w:t xml:space="preserve">充电需求研究把任务能量和时刻表转化为场站负荷。Taye</w:t>
      </w:r>
      <w:r>
        <w:t xml:space="preserve"> </w:t>
      </w:r>
      <w:r>
        <w:rPr>
          <w:rFonts w:hint="eastAsia"/>
        </w:rPr>
        <w:t xml:space="preserve">等</w:t>
      </w:r>
      <w:r>
        <w:t xml:space="preserve"> [1] </w:t>
      </w:r>
      <w:r>
        <w:rPr>
          <w:rFonts w:hint="eastAsia"/>
        </w:rPr>
        <w:t xml:space="preserve">表明，航班计划、荷电状态相关充电、航程距离和场站位置会影响能量与功率需求。但当航班预先给定时，随机排队和航空器周转造成的波动有一部分被固定在模型上游。本文将航班生成处理为乘客积累与等待的内生响应。</w:t>
      </w:r>
    </w:p>
    <w:bookmarkEnd w:id="12"/>
    <w:bookmarkStart w:id="13" w:name="城市空中交通运行与电力系统的综合研究"/>
    <w:p>
      <w:pPr>
        <w:pStyle w:val="Heading3"/>
      </w:pPr>
      <w:r>
        <w:t xml:space="preserve">2.2 </w:t>
      </w:r>
      <w:r>
        <w:rPr>
          <w:rFonts w:hint="eastAsia"/>
        </w:rPr>
        <w:t xml:space="preserve">城市空中交通运行与电力系统的综合研究</w:t>
      </w:r>
    </w:p>
    <w:p>
      <w:pPr>
        <w:pStyle w:val="FirstParagraph"/>
      </w:pPr>
      <w:r>
        <w:rPr>
          <w:rFonts w:hint="eastAsia"/>
        </w:rPr>
        <w:t xml:space="preserve">系统级研究确立了能量约束、机队管理和基础设施容量在城市空中交通运行中的重要性</w:t>
      </w:r>
      <w:r>
        <w:t xml:space="preserve"> </w:t>
      </w:r>
      <w:r>
        <w:rPr>
          <w:rFonts w:hint="eastAsia"/>
        </w:rPr>
        <w:t xml:space="preserve">[8,9]。微观仿真和综合平台在可比时间尺度上表示乘客服务、航空器移动和能量</w:t>
      </w:r>
      <w:r>
        <w:t xml:space="preserve"> </w:t>
      </w:r>
      <w:r>
        <w:rPr>
          <w:rFonts w:hint="eastAsia"/>
        </w:rPr>
        <w:t xml:space="preserve">[2,3,10]，为内生充电需求提供运行基础。</w:t>
      </w:r>
    </w:p>
    <w:p>
      <w:pPr>
        <w:pStyle w:val="BodyText"/>
      </w:pPr>
      <w:r>
        <w:t xml:space="preserve">Wu </w:t>
      </w:r>
      <w:r>
        <w:rPr>
          <w:rFonts w:hint="eastAsia"/>
        </w:rPr>
        <w:t xml:space="preserve">等</w:t>
      </w:r>
      <w:r>
        <w:t xml:space="preserve"> [4] </w:t>
      </w:r>
      <w:r>
        <w:rPr>
          <w:rFonts w:hint="eastAsia"/>
        </w:rPr>
        <w:t xml:space="preserve">将城市空中交通调度与可行充电窗口接入电力系统优化。这是最接近本文的直接先例，也说明“运行、荷电状态和电网耦合”本身不构成本文创新。本文的区别在于：随机队列在运行过程中触发航班，有限充电桩形成无控制的资源竞争，研究问题聚焦表征是否足够，而不是智能充电福利。</w:t>
      </w:r>
    </w:p>
    <w:bookmarkEnd w:id="13"/>
    <w:bookmarkStart w:id="14" w:name="模型细节与聚合误差"/>
    <w:p>
      <w:pPr>
        <w:pStyle w:val="Heading3"/>
      </w:pPr>
      <w:r>
        <w:t xml:space="preserve">2.3 </w:t>
      </w:r>
      <w:r>
        <w:rPr>
          <w:rFonts w:hint="eastAsia"/>
        </w:rPr>
        <w:t xml:space="preserve">模型细节与聚合误差</w:t>
      </w:r>
    </w:p>
    <w:p>
      <w:pPr>
        <w:pStyle w:val="FirstParagraph"/>
      </w:pPr>
      <w:r>
        <w:rPr>
          <w:rFonts w:hint="eastAsia"/>
        </w:rPr>
        <w:t xml:space="preserve">模型细节选择很少是中性的。在能源系统建模中，增加复杂度并不总是提高准确性</w:t>
      </w:r>
      <w:r>
        <w:t xml:space="preserve"> </w:t>
      </w:r>
      <w:r>
        <w:rPr>
          <w:rFonts w:hint="eastAsia"/>
        </w:rPr>
        <w:t xml:space="preserve">[6,11,12]，简约模型可能足以回答大尺度问题</w:t>
      </w:r>
      <w:r>
        <w:t xml:space="preserve"> </w:t>
      </w:r>
      <w:r>
        <w:rPr>
          <w:rFonts w:hint="eastAsia"/>
        </w:rPr>
        <w:t xml:space="preserve">[13]；建筑能耗仿真中的敏感性研究同样追问哪些简化可以接受</w:t>
      </w:r>
      <w:r>
        <w:t xml:space="preserve"> </w:t>
      </w:r>
      <w:r>
        <w:rPr>
          <w:rFonts w:hint="eastAsia"/>
        </w:rPr>
        <w:t xml:space="preserve">[14]。对电动汽车，有限信息可能保留部分聚合结果，同时使其他结果产生较大误差</w:t>
      </w:r>
      <w:r>
        <w:t xml:space="preserve"> </w:t>
      </w:r>
      <w:r>
        <w:rPr>
          <w:rFonts w:hint="eastAsia"/>
        </w:rPr>
        <w:t xml:space="preserve">[5]。本文将这种面向输出的充分性评估迁移到垂直起降场充电负荷。最详细的测试表征并不被视为真值，而是冻结的机制参照，用于评价更简单的嵌套层。</w:t>
      </w:r>
    </w:p>
    <w:bookmarkEnd w:id="14"/>
    <w:bookmarkEnd w:id="15"/>
    <w:bookmarkStart w:id="23" w:name="方法"/>
    <w:p>
      <w:pPr>
        <w:pStyle w:val="Heading2"/>
      </w:pPr>
      <w:r>
        <w:t xml:space="preserve">3. </w:t>
      </w:r>
      <w:r>
        <w:rPr>
          <w:rFonts w:hint="eastAsia"/>
        </w:rPr>
        <w:t xml:space="preserve">方法</w:t>
      </w:r>
    </w:p>
    <w:bookmarkStart w:id="16" w:name="网络与运行边界"/>
    <w:p>
      <w:pPr>
        <w:pStyle w:val="Heading3"/>
      </w:pPr>
      <w:r>
        <w:t xml:space="preserve">3.1 </w:t>
      </w:r>
      <w:r>
        <w:rPr>
          <w:rFonts w:hint="eastAsia"/>
        </w:rPr>
        <w:t xml:space="preserve">网络与运行边界</w:t>
      </w:r>
    </w:p>
    <w:p>
      <w:pPr>
        <w:pStyle w:val="FirstParagraph"/>
      </w:pPr>
      <w:r>
        <w:rPr>
          <w:rFonts w:hint="eastAsia"/>
        </w:rPr>
        <w:t xml:space="preserve">网络由</w:t>
      </w:r>
      <w:r>
        <w:t xml:space="preserve"> 4 </w:t>
      </w:r>
      <w:r>
        <w:rPr>
          <w:rFonts w:hint="eastAsia"/>
        </w:rPr>
        <w:t xml:space="preserve">个抽象需求区垂直起降场</w:t>
      </w:r>
      <w:r>
        <w:t xml:space="preserve"> </w:t>
      </w:r>
      <m:oMath>
        <m:sSub>
          <m:e>
            <m:r>
              <m:t>D</m:t>
            </m:r>
          </m:e>
          <m:sub>
            <m:r>
              <m:t>1</m:t>
            </m:r>
          </m:sub>
        </m:sSub>
      </m:oMath>
      <w:r>
        <w:t xml:space="preserve">–</w:t>
      </w:r>
      <m:oMath>
        <m:sSub>
          <m:e>
            <m:r>
              <m:t>D</m:t>
            </m:r>
          </m:e>
          <m:sub>
            <m:r>
              <m:t>4</m:t>
            </m:r>
          </m:sub>
        </m:sSub>
      </m:oMath>
      <w:r>
        <w:t xml:space="preserve"> </w:t>
      </w:r>
      <w:r>
        <w:rPr>
          <w:rFonts w:hint="eastAsia"/>
        </w:rPr>
        <w:t xml:space="preserve">和</w:t>
      </w:r>
      <w:r>
        <w:t xml:space="preserve"> 1 </w:t>
      </w:r>
      <w:r>
        <w:rPr>
          <w:rFonts w:hint="eastAsia"/>
        </w:rPr>
        <w:t xml:space="preserve">个机场垂直起降场</w:t>
      </w:r>
      <w:r>
        <w:t xml:space="preserve"> </w:t>
      </w:r>
      <m:oMath>
        <m:r>
          <m:t>A</m:t>
        </m:r>
      </m:oMath>
      <w:r>
        <w:t xml:space="preserve"> </w:t>
      </w:r>
      <w:r>
        <w:rPr>
          <w:rFonts w:hint="eastAsia"/>
        </w:rPr>
        <w:t xml:space="preserve">组成。乘客航班只允许从</w:t>
      </w:r>
      <w:r>
        <w:t xml:space="preserve"> </w:t>
      </w:r>
      <m:oMath>
        <m:sSub>
          <m:e>
            <m:r>
              <m:t>D</m:t>
            </m:r>
          </m:e>
          <m:sub>
            <m:r>
              <m:t>i</m:t>
            </m:r>
          </m:sub>
        </m:sSub>
      </m:oMath>
      <w:r>
        <w:t xml:space="preserve"> </w:t>
      </w:r>
      <w:r>
        <w:rPr>
          <w:rFonts w:hint="eastAsia"/>
        </w:rPr>
        <w:t xml:space="preserve">到</w:t>
      </w:r>
      <w:r>
        <w:t xml:space="preserve"> </w:t>
      </w:r>
      <m:oMath>
        <m:r>
          <m:t>A</m:t>
        </m:r>
      </m:oMath>
      <w:r>
        <w:rPr>
          <w:rFonts w:hint="eastAsia"/>
        </w:rPr>
        <w:t xml:space="preserve">；空机航班只允许从</w:t>
      </w:r>
      <w:r>
        <w:t xml:space="preserve"> </w:t>
      </w:r>
      <m:oMath>
        <m:r>
          <m:t>A</m:t>
        </m:r>
      </m:oMath>
      <w:r>
        <w:t xml:space="preserve"> </w:t>
      </w:r>
      <w:r>
        <w:rPr>
          <w:rFonts w:hint="eastAsia"/>
        </w:rPr>
        <w:t xml:space="preserve">到</w:t>
      </w:r>
      <w:r>
        <w:t xml:space="preserve"> </w:t>
      </w:r>
      <m:oMath>
        <m:sSub>
          <m:e>
            <m:r>
              <m:t>D</m:t>
            </m:r>
          </m:e>
          <m:sub>
            <m:r>
              <m:t>i</m:t>
            </m:r>
          </m:sub>
        </m:sSub>
      </m:oMath>
      <w:r>
        <w:rPr>
          <w:rFonts w:hint="eastAsia"/>
        </w:rPr>
        <w:t xml:space="preserve">，且仅在需求区存在正的触发服务覆盖缺口时发生。机场出发、区间飞行、主动再平衡和窗口后恢复调机均被排除。这一有向结构隔离出机场接驳服务，并显式表示服务所必需的空机返场。</w:t>
      </w:r>
    </w:p>
    <w:p>
      <w:pPr>
        <w:pStyle w:val="BodyText"/>
      </w:pPr>
      <w:r>
        <w:rPr>
          <w:rFonts w:hint="eastAsia"/>
        </w:rPr>
        <w:t xml:space="preserve">令</w:t>
      </w:r>
      <w:r>
        <w:t xml:space="preserve"> </w:t>
      </w:r>
      <m:oMath>
        <m:r>
          <m:t>V</m:t>
        </m:r>
        <m:r>
          <m:rPr>
            <m:sty m:val="p"/>
          </m:rPr>
          <m:t>=</m:t>
        </m:r>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sSub>
          <m:e>
            <m:r>
              <m:t>D</m:t>
            </m:r>
          </m:e>
          <m:sub>
            <m:r>
              <m:t>4</m:t>
            </m:r>
          </m:sub>
        </m:sSub>
        <m:r>
          <m:rPr>
            <m:sty m:val="p"/>
          </m:rPr>
          <m:t>,</m:t>
        </m:r>
        <m:r>
          <m:t>A</m:t>
        </m:r>
        <m:r>
          <m:rPr>
            <m:sty m:val="p"/>
          </m:rPr>
          <m:t>}</m:t>
        </m:r>
      </m:oMath>
      <w:r>
        <w:rPr>
          <w:rFonts w:hint="eastAsia"/>
        </w:rPr>
        <w:t xml:space="preserve">，若</w:t>
      </w:r>
      <w:r>
        <w:t xml:space="preserve"> </w:t>
      </w:r>
      <m:oMath>
        <m:sSub>
          <m:e>
            <m:r>
              <m:t>P</m:t>
            </m:r>
          </m:e>
          <m:sub>
            <m:r>
              <m:t>v</m:t>
            </m:r>
          </m:sub>
        </m:sSub>
        <m:r>
          <m:rPr>
            <m:sty m:val="p"/>
          </m:rPr>
          <m:t>(</m:t>
        </m:r>
        <m:r>
          <m:t>t</m:t>
        </m:r>
        <m:r>
          <m:rPr>
            <m:sty m:val="p"/>
          </m:rPr>
          <m:t>)</m:t>
        </m:r>
      </m:oMath>
      <w:r>
        <w:t xml:space="preserve"> </w:t>
      </w:r>
      <w:r>
        <w:rPr>
          <w:rFonts w:hint="eastAsia"/>
        </w:rPr>
        <w:t xml:space="preserve">为节点</w:t>
      </w:r>
      <w:r>
        <w:t xml:space="preserve"> </w:t>
      </w:r>
      <m:oMath>
        <m:r>
          <m:t>v</m:t>
        </m:r>
      </m:oMath>
      <w:r>
        <w:t xml:space="preserve"> </w:t>
      </w:r>
      <w:r>
        <w:rPr>
          <w:rFonts w:hint="eastAsia"/>
        </w:rPr>
        <w:t xml:space="preserve">的电网侧充电功率，则网络功率为</w:t>
      </w:r>
    </w:p>
    <w:p>
      <w:pPr>
        <w:pStyle w:val="BodyText"/>
      </w:pPr>
      <m:oMathPara>
        <m:oMathParaPr>
          <m:jc m:val="center"/>
        </m:oMathParaPr>
        <m:oMath>
          <m:sSub>
            <m:e>
              <m:r>
                <m:t>P</m:t>
              </m:r>
            </m:e>
            <m:sub>
              <m:r>
                <m:rPr>
                  <m:sty m:val="p"/>
                </m:rPr>
                <m:t>n</m:t>
              </m:r>
              <m:r>
                <m:rPr>
                  <m:sty m:val="p"/>
                </m:rPr>
                <m:t>e</m:t>
              </m:r>
              <m:r>
                <m:rPr>
                  <m:sty m:val="p"/>
                </m:rPr>
                <m:t>t</m:t>
              </m:r>
            </m:sub>
          </m:sSub>
          <m:r>
            <m:rPr>
              <m:sty m:val="p"/>
            </m:rPr>
            <m:t>(</m:t>
          </m:r>
          <m:r>
            <m:t>t</m:t>
          </m:r>
          <m:r>
            <m:rPr>
              <m:sty m:val="p"/>
            </m:rPr>
            <m:t>)</m:t>
          </m:r>
          <m:r>
            <m:rPr>
              <m:sty m:val="p"/>
            </m:rPr>
            <m:t>=</m:t>
          </m:r>
          <m:nary>
            <m:naryPr>
              <m:chr m:val="∑"/>
              <m:limLoc m:val="undOvr"/>
              <m:subHide m:val="off"/>
              <m:supHide m:val="on"/>
            </m:naryPr>
            <m:sub>
              <m:r>
                <m:t>v</m:t>
              </m:r>
              <m:r>
                <m:rPr>
                  <m:sty m:val="p"/>
                </m:rPr>
                <m:t>∈</m:t>
              </m:r>
              <m:r>
                <m:t>V</m:t>
              </m:r>
            </m:sub>
            <m:sup>
              <m:r>
                <m:t>​</m:t>
              </m:r>
            </m:sup>
            <m:e>
              <m:sSub>
                <m:e>
                  <m:r>
                    <m:t>P</m:t>
                  </m:r>
                </m:e>
                <m:sub>
                  <m:r>
                    <m:t>v</m:t>
                  </m:r>
                </m:sub>
              </m:sSub>
            </m:e>
          </m:nary>
          <m:r>
            <m:rPr>
              <m:sty m:val="p"/>
            </m:rPr>
            <m:t>(</m:t>
          </m:r>
          <m:r>
            <m:t>t</m:t>
          </m:r>
          <m:r>
            <m:rPr>
              <m:sty m:val="p"/>
            </m:rPr>
            <m:t>)</m:t>
          </m:r>
          <m:r>
            <m:rPr>
              <m:sty m:val="p"/>
            </m:rPr>
            <m:t>.</m:t>
          </m:r>
        </m:oMath>
      </m:oMathPara>
    </w:p>
    <w:p>
      <w:pPr>
        <w:pStyle w:val="FirstParagraph"/>
      </w:pPr>
      <w:r>
        <w:rPr>
          <w:rFonts w:hint="eastAsia"/>
        </w:rPr>
        <w:t xml:space="preserve">模型输出是状态依赖映射：</w:t>
      </w:r>
    </w:p>
    <w:p>
      <w:pPr>
        <w:pStyle w:val="BodyText"/>
      </w:pPr>
      <m:oMathPara>
        <m:oMathParaPr>
          <m:jc m:val="center"/>
        </m:oMathParaPr>
        <m:oMath>
          <m:r>
            <m:t>P</m:t>
          </m:r>
          <m:r>
            <m:rPr>
              <m:sty m:val="p"/>
            </m:rPr>
            <m:t>(</m:t>
          </m:r>
          <m:r>
            <m:t>t</m:t>
          </m:r>
          <m:r>
            <m:rPr>
              <m:sty m:val="p"/>
            </m:rPr>
            <m:t>)</m:t>
          </m:r>
          <m:r>
            <m:rPr>
              <m:sty m:val="p"/>
            </m:rPr>
            <m:t>=</m:t>
          </m:r>
          <m:r>
            <m:t>G</m:t>
          </m:r>
          <m:d>
            <m:dPr>
              <m:begChr m:val="("/>
              <m:sepChr m:val=""/>
              <m:endChr m:val=")"/>
              <m:grow/>
            </m:dPr>
            <m:e>
              <m:r>
                <m:rPr>
                  <m:nor/>
                  <m:sty m:val="p"/>
                </m:rPr>
                <m:t>到达</m:t>
              </m:r>
              <m:r>
                <m:rPr>
                  <m:sty m:val="p"/>
                </m:rPr>
                <m:t>,</m:t>
              </m:r>
              <m:r>
                <m:rPr>
                  <m:nor/>
                  <m:sty m:val="p"/>
                </m:rPr>
                <m:t>队列</m:t>
              </m:r>
              <m:r>
                <m:rPr>
                  <m:sty m:val="p"/>
                </m:rPr>
                <m:t>,</m:t>
              </m:r>
              <m:r>
                <m:rPr>
                  <m:nor/>
                  <m:sty m:val="p"/>
                </m:rPr>
                <m:t>航空器状态</m:t>
              </m:r>
              <m:r>
                <m:rPr>
                  <m:sty m:val="p"/>
                </m:rPr>
                <m:t>,</m:t>
              </m:r>
              <m:r>
                <m:rPr>
                  <m:nor/>
                  <m:sty m:val="p"/>
                </m:rPr>
                <m:t>SOC</m:t>
              </m:r>
              <m:r>
                <m:rPr>
                  <m:sty m:val="p"/>
                </m:rPr>
                <m:t>,</m:t>
              </m:r>
              <m:r>
                <m:rPr>
                  <m:nor/>
                  <m:sty m:val="p"/>
                </m:rPr>
                <m:t>派机规则</m:t>
              </m:r>
              <m:r>
                <m:rPr>
                  <m:sty m:val="p"/>
                </m:rPr>
                <m:t>,</m:t>
              </m:r>
              <m:r>
                <m:rPr>
                  <m:nor/>
                  <m:sty m:val="p"/>
                </m:rPr>
                <m:t>充电桩状态</m:t>
              </m:r>
            </m:e>
          </m:d>
          <m:r>
            <m:rPr>
              <m:sty m:val="p"/>
            </m:rPr>
            <m:t>.</m:t>
          </m:r>
        </m:oMath>
      </m:oMathPara>
    </w:p>
    <w:p>
      <w:pPr>
        <w:pStyle w:val="FirstParagraph"/>
      </w:pPr>
      <w:r>
        <w:rPr>
          <w:rFonts w:hint="eastAsia"/>
        </w:rPr>
        <w:t xml:space="preserve">需求是外生的，但充电轨迹是内生的，因为所有中间状态都在仿真中演化。</w:t>
      </w:r>
    </w:p>
    <w:bookmarkEnd w:id="16"/>
    <w:bookmarkStart w:id="17" w:name="乘客到达与队列触发航班"/>
    <w:p>
      <w:pPr>
        <w:pStyle w:val="Heading3"/>
      </w:pPr>
      <w:r>
        <w:t xml:space="preserve">3.2 </w:t>
      </w:r>
      <w:r>
        <w:rPr>
          <w:rFonts w:hint="eastAsia"/>
        </w:rPr>
        <w:t xml:space="preserve">乘客到达与队列触发航班</w:t>
      </w:r>
    </w:p>
    <w:p>
      <w:pPr>
        <w:pStyle w:val="FirstParagraph"/>
      </w:pPr>
      <w:r>
        <w:rPr>
          <w:rFonts w:hint="eastAsia"/>
        </w:rPr>
        <w:t xml:space="preserve">网络到达在预热期与正式测量期遵循平稳泊松过程，总到达率为</w:t>
      </w:r>
      <w:r>
        <w:t xml:space="preserve"> </w:t>
      </w:r>
      <m:oMath>
        <m:r>
          <m:t>η</m:t>
        </m:r>
        <m:sSub>
          <m:e>
            <m:r>
              <m:t>λ</m:t>
            </m:r>
          </m:e>
          <m:sub>
            <m:r>
              <m:rPr>
                <m:sty m:val="p"/>
              </m:rPr>
              <m:t>r</m:t>
            </m:r>
            <m:r>
              <m:rPr>
                <m:sty m:val="p"/>
              </m:rPr>
              <m:t>e</m:t>
            </m:r>
            <m:r>
              <m:rPr>
                <m:sty m:val="p"/>
              </m:rPr>
              <m:t>f</m:t>
            </m:r>
          </m:sub>
        </m:sSub>
      </m:oMath>
      <w:r>
        <w:rPr>
          <w:rFonts w:hint="eastAsia"/>
        </w:rPr>
        <w:t xml:space="preserve">，每个到达独立分配到需求区</w:t>
      </w:r>
      <w:r>
        <w:t xml:space="preserve"> </w:t>
      </w:r>
      <m:oMath>
        <m:r>
          <m:t>i</m:t>
        </m:r>
      </m:oMath>
      <w:r>
        <w:t xml:space="preserve"> </w:t>
      </w:r>
      <w:r>
        <w:rPr>
          <w:rFonts w:hint="eastAsia"/>
        </w:rPr>
        <w:t xml:space="preserve">的概率为</w:t>
      </w:r>
      <w:r>
        <w:t xml:space="preserve"> </w:t>
      </w:r>
      <m:oMath>
        <m:sSub>
          <m:e>
            <m:r>
              <m:t>α</m:t>
            </m:r>
          </m:e>
          <m:sub>
            <m:r>
              <m:t>i</m:t>
            </m:r>
          </m:sub>
        </m:sSub>
      </m:oMath>
      <w:r>
        <w:rPr>
          <w:rFonts w:hint="eastAsia"/>
        </w:rPr>
        <w:t xml:space="preserve">：</w:t>
      </w:r>
    </w:p>
    <w:p>
      <w:pPr>
        <w:pStyle w:val="BodyText"/>
      </w:pPr>
      <m:oMathPara>
        <m:oMathParaPr>
          <m:jc m:val="center"/>
        </m:oMathParaPr>
        <m:oMath>
          <m:sSub>
            <m:e>
              <m:r>
                <m:t>λ</m:t>
              </m:r>
            </m:e>
            <m:sub>
              <m:r>
                <m:t>i</m:t>
              </m:r>
            </m:sub>
          </m:sSub>
          <m:r>
            <m:rPr>
              <m:sty m:val="p"/>
            </m:rPr>
            <m:t>=</m:t>
          </m:r>
          <m:r>
            <m:t>η</m:t>
          </m:r>
          <m:r>
            <m:t> </m:t>
          </m:r>
          <m:sSub>
            <m:e>
              <m:r>
                <m:t>α</m:t>
              </m:r>
            </m:e>
            <m:sub>
              <m:r>
                <m:t>i</m:t>
              </m:r>
            </m:sub>
          </m:sSub>
          <m:r>
            <m:t> </m:t>
          </m:r>
          <m:sSub>
            <m:e>
              <m:r>
                <m:t>λ</m:t>
              </m:r>
            </m:e>
            <m:sub>
              <m:r>
                <m:rPr>
                  <m:sty m:val="p"/>
                </m:rPr>
                <m:t>r</m:t>
              </m:r>
              <m:r>
                <m:rPr>
                  <m:sty m:val="p"/>
                </m:rPr>
                <m:t>e</m:t>
              </m:r>
              <m:r>
                <m:rPr>
                  <m:sty m:val="p"/>
                </m:rPr>
                <m:t>f</m:t>
              </m:r>
            </m:sub>
          </m:sSub>
          <m:r>
            <m:rPr>
              <m:sty m:val="p"/>
            </m:rPr>
            <m:t>,</m:t>
          </m:r>
          <m:r>
            <m:t>  </m:t>
          </m:r>
          <m:nary>
            <m:naryPr>
              <m:chr m:val="∑"/>
              <m:limLoc m:val="undOvr"/>
              <m:subHide m:val="off"/>
              <m:supHide m:val="on"/>
            </m:naryPr>
            <m:sub>
              <m:r>
                <m:t>i</m:t>
              </m:r>
            </m:sub>
            <m:sup>
              <m:r>
                <m:t>​</m:t>
              </m:r>
            </m:sup>
            <m:e>
              <m:sSub>
                <m:e>
                  <m:r>
                    <m:t>α</m:t>
                  </m:r>
                </m:e>
                <m:sub>
                  <m:r>
                    <m:t>i</m:t>
                  </m:r>
                </m:sub>
              </m:sSub>
            </m:e>
          </m:nary>
          <m:r>
            <m:rPr>
              <m:sty m:val="p"/>
            </m:rPr>
            <m:t>=</m:t>
          </m:r>
          <m:r>
            <m:t>1</m:t>
          </m:r>
          <m:r>
            <m:rPr>
              <m:sty m:val="p"/>
            </m:rPr>
            <m:t>.</m:t>
          </m:r>
        </m:oMath>
      </m:oMathPara>
    </w:p>
    <w:p>
      <w:pPr>
        <w:pStyle w:val="FirstParagraph"/>
      </w:pPr>
      <w:r>
        <w:rPr>
          <w:rFonts w:hint="eastAsia"/>
        </w:rPr>
        <w:t xml:space="preserve">参考到达率在基准网络上一次标定：</w:t>
      </w:r>
    </w:p>
    <w:p>
      <w:pPr>
        <w:pStyle w:val="BodyText"/>
      </w:pPr>
      <m:oMathPara>
        <m:oMathParaPr>
          <m:jc m:val="center"/>
        </m:oMathParaPr>
        <m:oMath>
          <m:sSub>
            <m:e>
              <m:r>
                <m:t>λ</m:t>
              </m:r>
            </m:e>
            <m:sub>
              <m:r>
                <m:rPr>
                  <m:sty m:val="p"/>
                </m:rPr>
                <m:t>r</m:t>
              </m:r>
              <m:r>
                <m:rPr>
                  <m:sty m:val="p"/>
                </m:rPr>
                <m:t>e</m:t>
              </m:r>
              <m:r>
                <m:rPr>
                  <m:sty m:val="p"/>
                </m:rPr>
                <m:t>f</m:t>
              </m:r>
            </m:sub>
          </m:sSub>
          <m:r>
            <m:rPr>
              <m:sty m:val="p"/>
            </m:rPr>
            <m:t>=</m:t>
          </m:r>
          <m:sSub>
            <m:e>
              <m:r>
                <m:t>ρ</m:t>
              </m:r>
            </m:e>
            <m:sub>
              <m:r>
                <m:rPr>
                  <m:sty m:val="p"/>
                </m:rPr>
                <m:t>r</m:t>
              </m:r>
              <m:r>
                <m:rPr>
                  <m:sty m:val="p"/>
                </m:rPr>
                <m:t>e</m:t>
              </m:r>
              <m:r>
                <m:rPr>
                  <m:sty m:val="p"/>
                </m:rPr>
                <m:t>f</m:t>
              </m:r>
            </m:sub>
          </m:sSub>
          <m:f>
            <m:fPr>
              <m:type m:val="bar"/>
            </m:fPr>
            <m:num>
              <m:r>
                <m:t>60</m:t>
              </m:r>
              <m:r>
                <m:t>M</m:t>
              </m:r>
              <m:r>
                <m:t>K</m:t>
              </m:r>
            </m:num>
            <m:den>
              <m:sSub>
                <m:e>
                  <m:acc>
                    <m:accPr>
                      <m:chr m:val="‾"/>
                    </m:accPr>
                    <m:e>
                      <m:r>
                        <m:t>τ</m:t>
                      </m:r>
                    </m:e>
                  </m:acc>
                </m:e>
                <m:sub>
                  <m:r>
                    <m:rPr>
                      <m:sty m:val="p"/>
                    </m:rPr>
                    <m:t>c</m:t>
                  </m:r>
                  <m:r>
                    <m:rPr>
                      <m:sty m:val="p"/>
                    </m:rPr>
                    <m:t>y</m:t>
                  </m:r>
                  <m:r>
                    <m:rPr>
                      <m:sty m:val="p"/>
                    </m:rPr>
                    <m:t>c</m:t>
                  </m:r>
                  <m:r>
                    <m:rPr>
                      <m:sty m:val="p"/>
                    </m:rPr>
                    <m:t>l</m:t>
                  </m:r>
                  <m:r>
                    <m:rPr>
                      <m:sty m:val="p"/>
                    </m:rPr>
                    <m:t>e</m:t>
                  </m:r>
                </m:sub>
              </m:sSub>
            </m:den>
          </m:f>
          <m:r>
            <m:rPr>
              <m:sty m:val="p"/>
            </m:rPr>
            <m:t>,</m:t>
          </m:r>
        </m:oMath>
      </m:oMathPara>
    </w:p>
    <w:p>
      <w:pPr>
        <w:pStyle w:val="FirstParagraph"/>
      </w:pPr>
      <w:r>
        <w:rPr>
          <w:rFonts w:hint="eastAsia"/>
        </w:rPr>
        <w:t xml:space="preserve">其中</w:t>
      </w:r>
      <w:r>
        <w:t xml:space="preserve"> </w:t>
      </w:r>
      <m:oMath>
        <m:r>
          <m:t>M</m:t>
        </m:r>
      </m:oMath>
      <w:r>
        <w:t xml:space="preserve"> </w:t>
      </w:r>
      <w:r>
        <w:rPr>
          <w:rFonts w:hint="eastAsia"/>
        </w:rPr>
        <w:t xml:space="preserve">为机队规模，</w:t>
      </w:r>
      <m:oMath>
        <m:r>
          <m:t>K</m:t>
        </m:r>
      </m:oMath>
      <w:r>
        <w:t xml:space="preserve"> </w:t>
      </w:r>
      <w:r>
        <w:rPr>
          <w:rFonts w:hint="eastAsia"/>
        </w:rPr>
        <w:t xml:space="preserve">为座位数，</w:t>
      </w:r>
      <m:oMath>
        <m:sSub>
          <m:e>
            <m:acc>
              <m:accPr>
                <m:chr m:val="‾"/>
              </m:accPr>
              <m:e>
                <m:r>
                  <m:t>τ</m:t>
                </m:r>
              </m:e>
            </m:acc>
          </m:e>
          <m:sub>
            <m:r>
              <m:rPr>
                <m:sty m:val="p"/>
              </m:rPr>
              <m:t>c</m:t>
            </m:r>
            <m:r>
              <m:rPr>
                <m:sty m:val="p"/>
              </m:rPr>
              <m:t>y</m:t>
            </m:r>
            <m:r>
              <m:rPr>
                <m:sty m:val="p"/>
              </m:rPr>
              <m:t>c</m:t>
            </m:r>
            <m:r>
              <m:rPr>
                <m:sty m:val="p"/>
              </m:rPr>
              <m:t>l</m:t>
            </m:r>
            <m:r>
              <m:rPr>
                <m:sty m:val="p"/>
              </m:rPr>
              <m:t>e</m:t>
            </m:r>
          </m:sub>
        </m:sSub>
      </m:oMath>
      <w:r>
        <w:t xml:space="preserve"> </w:t>
      </w:r>
      <w:r>
        <w:rPr>
          <w:rFonts w:hint="eastAsia"/>
        </w:rPr>
        <w:t xml:space="preserve">为加权理想周期时长，</w:t>
      </w:r>
      <m:oMath>
        <m:sSub>
          <m:e>
            <m:r>
              <m:t>ρ</m:t>
            </m:r>
          </m:e>
          <m:sub>
            <m:r>
              <m:rPr>
                <m:sty m:val="p"/>
              </m:rPr>
              <m:t>r</m:t>
            </m:r>
            <m:r>
              <m:rPr>
                <m:sty m:val="p"/>
              </m:rPr>
              <m:t>e</m:t>
            </m:r>
            <m:r>
              <m:rPr>
                <m:sty m:val="p"/>
              </m:rPr>
              <m:t>f</m:t>
            </m:r>
          </m:sub>
        </m:sSub>
        <m:r>
          <m:rPr>
            <m:sty m:val="p"/>
          </m:rPr>
          <m:t>=</m:t>
        </m:r>
        <m:r>
          <m:t>0.70</m:t>
        </m:r>
      </m:oMath>
      <w:r>
        <w:t xml:space="preserve"> </w:t>
      </w:r>
      <w:r>
        <w:rPr>
          <w:rFonts w:hint="eastAsia"/>
        </w:rPr>
        <w:t xml:space="preserve">为参考利用率。乘客按先到先服务排队。当已有</w:t>
      </w:r>
      <w:r>
        <w:t xml:space="preserve"> 4 </w:t>
      </w:r>
      <w:r>
        <w:rPr>
          <w:rFonts w:hint="eastAsia"/>
        </w:rPr>
        <w:t xml:space="preserve">名乘客或队首乘客已等待</w:t>
      </w:r>
      <w:r>
        <w:t xml:space="preserve"> 15 </w:t>
      </w:r>
      <w:r>
        <w:rPr>
          <w:rFonts w:hint="eastAsia"/>
        </w:rPr>
        <w:t xml:space="preserve">分钟时，触发一个服务批次。触发不保证立即起飞：航空器必须本地可用或从机场返回、高于任务所需荷电状态门槛，并完成周转。</w:t>
      </w:r>
    </w:p>
    <w:bookmarkEnd w:id="17"/>
    <w:bookmarkStart w:id="18" w:name="航空器状态与空机返场"/>
    <w:p>
      <w:pPr>
        <w:pStyle w:val="Heading3"/>
      </w:pPr>
      <w:r>
        <w:t xml:space="preserve">3.3 </w:t>
      </w:r>
      <w:r>
        <w:rPr>
          <w:rFonts w:hint="eastAsia"/>
        </w:rPr>
        <w:t xml:space="preserve">航空器状态与空机返场</w:t>
      </w:r>
    </w:p>
    <w:p>
      <w:pPr>
        <w:pStyle w:val="FirstParagraph"/>
      </w:pPr>
      <w:r>
        <w:rPr>
          <w:rFonts w:hint="eastAsia"/>
        </w:rPr>
        <w:t xml:space="preserve">每架航空器保留位置、运行状态、剩余活动时间和连续荷电状态。状态包括空闲、乘客周转、载客飞行、机场周转、空机飞行、充电排队和充电。8</w:t>
      </w:r>
      <w:r>
        <w:t xml:space="preserve"> </w:t>
      </w:r>
      <w:r>
        <w:rPr>
          <w:rFonts w:hint="eastAsia"/>
        </w:rPr>
        <w:t xml:space="preserve">架航空器在预热开始时每个需求区</w:t>
      </w:r>
      <w:r>
        <w:t xml:space="preserve"> 2 </w:t>
      </w:r>
      <w:r>
        <w:rPr>
          <w:rFonts w:hint="eastAsia"/>
        </w:rPr>
        <w:t xml:space="preserve">架，荷电状态为</w:t>
      </w:r>
      <w:r>
        <w:t xml:space="preserve"> </w:t>
      </w:r>
      <w:r>
        <w:rPr>
          <w:rFonts w:hint="eastAsia"/>
        </w:rPr>
        <w:t xml:space="preserve">0.85，队列为空，充电桩空闲。本地航空器优先分配；机场航空器只派往扣除本地可服务航空器和在途空机后仍存在正覆盖缺口的需求区。</w:t>
      </w:r>
    </w:p>
    <w:p>
      <w:pPr>
        <w:pStyle w:val="BodyText"/>
      </w:pPr>
      <w:r>
        <w:rPr>
          <w:rFonts w:hint="eastAsia"/>
        </w:rPr>
        <w:t xml:space="preserve">基准巡航距离为</w:t>
      </w:r>
      <w:r>
        <w:t xml:space="preserve"> 10、12.5、15、17.5 </w:t>
      </w:r>
      <w:r>
        <w:rPr>
          <w:rFonts w:hint="eastAsia"/>
        </w:rPr>
        <w:t xml:space="preserve">km。单程飞行时间由</w:t>
      </w:r>
      <w:r>
        <w:t xml:space="preserve"> 4.644 </w:t>
      </w:r>
      <w:r>
        <w:rPr>
          <w:rFonts w:hint="eastAsia"/>
        </w:rPr>
        <w:t xml:space="preserve">分钟垂直—转换时间加上</w:t>
      </w:r>
      <w:r>
        <w:t xml:space="preserve"> 241.4 km/h </w:t>
      </w:r>
      <w:r>
        <w:rPr>
          <w:rFonts w:hint="eastAsia"/>
        </w:rPr>
        <w:t xml:space="preserve">巡航时间组成；两端周转均为</w:t>
      </w:r>
      <w:r>
        <w:t xml:space="preserve"> 6 </w:t>
      </w:r>
      <w:r>
        <w:rPr>
          <w:rFonts w:hint="eastAsia"/>
        </w:rPr>
        <w:t xml:space="preserve">分钟。</w:t>
      </w:r>
    </w:p>
    <w:bookmarkEnd w:id="18"/>
    <w:bookmarkStart w:id="19" w:name="飞行能量电池账本与派飞可行性"/>
    <w:p>
      <w:pPr>
        <w:pStyle w:val="Heading3"/>
      </w:pPr>
      <w:r>
        <w:t xml:space="preserve">3.4 </w:t>
      </w:r>
      <w:r>
        <w:rPr>
          <w:rFonts w:hint="eastAsia"/>
        </w:rPr>
        <w:t xml:space="preserve">飞行能量、电池账本与派飞可行性</w:t>
      </w:r>
    </w:p>
    <w:p>
      <w:pPr>
        <w:pStyle w:val="FirstParagraph"/>
      </w:pPr>
      <w:r>
        <w:rPr>
          <w:rFonts w:hint="eastAsia"/>
        </w:rPr>
        <w:t xml:space="preserve">本文使用降阶任务能量模型，而非完整气动仿真。对需求区</w:t>
      </w:r>
      <w:r>
        <w:t xml:space="preserve"> </w:t>
      </w:r>
      <m:oMath>
        <m:r>
          <m:t>i</m:t>
        </m:r>
      </m:oMath>
      <w:r>
        <w:rPr>
          <w:rFonts w:hint="eastAsia"/>
        </w:rPr>
        <w:t xml:space="preserve">，载客飞行能量与空机返场能量分别为</w:t>
      </w:r>
    </w:p>
    <w:p>
      <w:pPr>
        <w:pStyle w:val="BodyText"/>
      </w:pPr>
      <m:oMathPara>
        <m:oMathParaPr>
          <m:jc m:val="center"/>
        </m:oMathParaPr>
        <m:oMath>
          <m:sSub>
            <m:e>
              <m:r>
                <m:t>E</m:t>
              </m:r>
            </m:e>
            <m:sub>
              <m:r>
                <m:rPr>
                  <m:sty m:val="p"/>
                </m:rPr>
                <m:t>p</m:t>
              </m:r>
              <m:r>
                <m:rPr>
                  <m:sty m:val="p"/>
                </m:rPr>
                <m:t>a</m:t>
              </m:r>
              <m:r>
                <m:rPr>
                  <m:sty m:val="p"/>
                </m:rPr>
                <m:t>x</m:t>
              </m:r>
              <m:r>
                <m:rPr>
                  <m:sty m:val="p"/>
                </m:rPr>
                <m:t>,</m:t>
              </m:r>
              <m:r>
                <m:t>i</m:t>
              </m:r>
            </m:sub>
          </m:sSub>
          <m:r>
            <m:rPr>
              <m:sty m:val="p"/>
            </m:rPr>
            <m:t>=</m:t>
          </m:r>
          <m:r>
            <m:t>16.5106</m:t>
          </m:r>
          <m:r>
            <m:rPr>
              <m:sty m:val="p"/>
            </m:rPr>
            <m:t>+</m:t>
          </m:r>
          <m:r>
            <m:t>0.43136</m:t>
          </m:r>
          <m:r>
            <m:t> </m:t>
          </m:r>
          <m:sSub>
            <m:e>
              <m:r>
                <m:t>d</m:t>
              </m:r>
            </m:e>
            <m:sub>
              <m:r>
                <m:t>i</m:t>
              </m:r>
            </m:sub>
          </m:sSub>
          <m:r>
            <m:rPr>
              <m:sty m:val="p"/>
            </m:rPr>
            <m:t>,</m:t>
          </m:r>
        </m:oMath>
      </m:oMathPara>
    </w:p>
    <w:p>
      <w:pPr>
        <w:pStyle w:val="FirstParagraph"/>
      </w:pPr>
      <m:oMathPara>
        <m:oMathParaPr>
          <m:jc m:val="center"/>
        </m:oMathParaPr>
        <m:oMath>
          <m:sSub>
            <m:e>
              <m:r>
                <m:t>E</m:t>
              </m:r>
            </m:e>
            <m:sub>
              <m:r>
                <m:rPr>
                  <m:sty m:val="p"/>
                </m:rPr>
                <m:t>e</m:t>
              </m:r>
              <m:r>
                <m:rPr>
                  <m:sty m:val="p"/>
                </m:rPr>
                <m:t>m</m:t>
              </m:r>
              <m:r>
                <m:rPr>
                  <m:sty m:val="p"/>
                </m:rPr>
                <m:t>p</m:t>
              </m:r>
              <m:r>
                <m:rPr>
                  <m:sty m:val="p"/>
                </m:rPr>
                <m:t>t</m:t>
              </m:r>
              <m:r>
                <m:rPr>
                  <m:sty m:val="p"/>
                </m:rPr>
                <m:t>y</m:t>
              </m:r>
              <m:r>
                <m:rPr>
                  <m:sty m:val="p"/>
                </m:rPr>
                <m:t>,</m:t>
              </m:r>
              <m:r>
                <m:t>i</m:t>
              </m:r>
            </m:sub>
          </m:sSub>
          <m:r>
            <m:rPr>
              <m:sty m:val="p"/>
            </m:rPr>
            <m:t>=</m:t>
          </m:r>
          <m:r>
            <m:t>13.4839</m:t>
          </m:r>
          <m:r>
            <m:rPr>
              <m:sty m:val="p"/>
            </m:rPr>
            <m:t>+</m:t>
          </m:r>
          <m:r>
            <m:t>0.35229</m:t>
          </m:r>
          <m:r>
            <m:t> </m:t>
          </m:r>
          <m:sSub>
            <m:e>
              <m:r>
                <m:t>d</m:t>
              </m:r>
            </m:e>
            <m:sub>
              <m:r>
                <m:t>i</m:t>
              </m:r>
            </m:sub>
          </m:sSub>
          <m:r>
            <m:rPr>
              <m:sty m:val="p"/>
            </m:rPr>
            <m:t>,</m:t>
          </m:r>
        </m:oMath>
      </m:oMathPara>
    </w:p>
    <w:p>
      <w:pPr>
        <w:pStyle w:val="FirstParagraph"/>
      </w:pPr>
      <w:r>
        <w:rPr>
          <w:rFonts w:hint="eastAsia"/>
        </w:rPr>
        <w:t xml:space="preserve">其中</w:t>
      </w:r>
      <w:r>
        <w:t xml:space="preserve"> </w:t>
      </w:r>
      <m:oMath>
        <m:sSub>
          <m:e>
            <m:r>
              <m:t>d</m:t>
            </m:r>
          </m:e>
          <m:sub>
            <m:r>
              <m:t>i</m:t>
            </m:r>
          </m:sub>
        </m:sSub>
      </m:oMath>
      <w:r>
        <w:t xml:space="preserve"> </w:t>
      </w:r>
      <w:r>
        <w:rPr>
          <w:rFonts w:hint="eastAsia"/>
        </w:rPr>
        <w:t xml:space="preserve">为水平巡航距离（km），能量单位为</w:t>
      </w:r>
      <w:r>
        <w:t xml:space="preserve"> </w:t>
      </w:r>
      <w:r>
        <w:rPr>
          <w:rFonts w:hint="eastAsia"/>
        </w:rPr>
        <w:t xml:space="preserve">kWh。截距表示与距离无关的垂直和转换阶段，斜率表示巡航能量随距离增长。一个低能量映射被用于边界情景，以检验航空器性能假设敏感性。</w:t>
      </w:r>
    </w:p>
    <w:p>
      <w:pPr>
        <w:pStyle w:val="BodyText"/>
      </w:pPr>
      <w:r>
        <w:rPr>
          <w:rFonts w:hint="eastAsia"/>
        </w:rPr>
        <w:t xml:space="preserve">电池状态以能量单位连续跟踪。对可用能量</w:t>
      </w:r>
      <w:r>
        <w:t xml:space="preserve"> </w:t>
      </w:r>
      <m:oMath>
        <m:r>
          <m:t>B</m:t>
        </m:r>
        <m:r>
          <m:rPr>
            <m:sty m:val="p"/>
          </m:rPr>
          <m:t>=</m:t>
        </m:r>
        <m:r>
          <m:t>160</m:t>
        </m:r>
      </m:oMath>
      <w:r>
        <w:t xml:space="preserve"> </w:t>
      </w:r>
      <w:r>
        <w:t xml:space="preserve">kWh </w:t>
      </w:r>
      <w:r>
        <w:rPr>
          <w:rFonts w:hint="eastAsia"/>
        </w:rPr>
        <w:t xml:space="preserve">的航空器</w:t>
      </w:r>
      <w:r>
        <w:t xml:space="preserve"> </w:t>
      </w:r>
      <m:oMath>
        <m:r>
          <m:t>a</m:t>
        </m:r>
      </m:oMath>
      <w:r>
        <w:rPr>
          <w:rFonts w:hint="eastAsia"/>
        </w:rPr>
        <w:t xml:space="preserve">，</w:t>
      </w:r>
    </w:p>
    <w:p>
      <w:pPr>
        <w:pStyle w:val="BodyText"/>
      </w:pPr>
      <m:oMathPara>
        <m:oMathParaPr>
          <m:jc m:val="center"/>
        </m:oMathParaPr>
        <m:oMath>
          <m:sSub>
            <m:e>
              <m:r>
                <m:rPr>
                  <m:sty m:val="p"/>
                </m:rPr>
                <m:t>S</m:t>
              </m:r>
              <m:r>
                <m:rPr>
                  <m:sty m:val="p"/>
                </m:rPr>
                <m:t>O</m:t>
              </m:r>
              <m:r>
                <m:rPr>
                  <m:sty m:val="p"/>
                </m:rPr>
                <m:t>C</m:t>
              </m:r>
            </m:e>
            <m:sub>
              <m:r>
                <m:t>a</m:t>
              </m:r>
            </m:sub>
          </m:sSub>
          <m:r>
            <m:rPr>
              <m:sty m:val="p"/>
            </m:rPr>
            <m:t>(</m:t>
          </m:r>
          <m:r>
            <m:t>t</m:t>
          </m:r>
          <m:r>
            <m:rPr>
              <m:sty m:val="p"/>
            </m:rPr>
            <m:t>+</m:t>
          </m:r>
          <m:r>
            <m:t>1</m:t>
          </m:r>
          <m:r>
            <m:rPr>
              <m:sty m:val="p"/>
            </m:rPr>
            <m:t>)</m:t>
          </m:r>
          <m:r>
            <m:rPr>
              <m:sty m:val="p"/>
            </m:rPr>
            <m:t>=</m:t>
          </m:r>
          <m:sSub>
            <m:e>
              <m:r>
                <m:rPr>
                  <m:sty m:val="p"/>
                </m:rPr>
                <m:t>S</m:t>
              </m:r>
              <m:r>
                <m:rPr>
                  <m:sty m:val="p"/>
                </m:rPr>
                <m:t>O</m:t>
              </m:r>
              <m:r>
                <m:rPr>
                  <m:sty m:val="p"/>
                </m:rPr>
                <m:t>C</m:t>
              </m:r>
            </m:e>
            <m:sub>
              <m:r>
                <m:t>a</m:t>
              </m:r>
            </m:sub>
          </m:sSub>
          <m:r>
            <m:rPr>
              <m:sty m:val="p"/>
            </m:rPr>
            <m:t>(</m:t>
          </m:r>
          <m:r>
            <m:t>t</m:t>
          </m:r>
          <m:r>
            <m:rPr>
              <m:sty m:val="p"/>
            </m:rPr>
            <m:t>)</m:t>
          </m:r>
          <m:r>
            <m:rPr>
              <m:sty m:val="p"/>
            </m:rPr>
            <m:t>+</m:t>
          </m:r>
          <m:f>
            <m:fPr>
              <m:type m:val="bar"/>
            </m:fPr>
            <m:num>
              <m:sSub>
                <m:e>
                  <m:r>
                    <m:t>E</m:t>
                  </m:r>
                </m:e>
                <m:sub>
                  <m:r>
                    <m:rPr>
                      <m:sty m:val="p"/>
                    </m:rPr>
                    <m:t>c</m:t>
                  </m:r>
                  <m:r>
                    <m:rPr>
                      <m:sty m:val="p"/>
                    </m:rPr>
                    <m:t>h</m:t>
                  </m:r>
                  <m:r>
                    <m:rPr>
                      <m:sty m:val="p"/>
                    </m:rPr>
                    <m:t>g</m:t>
                  </m:r>
                  <m:r>
                    <m:rPr>
                      <m:sty m:val="p"/>
                    </m:rPr>
                    <m:t>,</m:t>
                  </m:r>
                  <m:r>
                    <m:t>a</m:t>
                  </m:r>
                </m:sub>
              </m:sSub>
              <m:r>
                <m:rPr>
                  <m:sty m:val="p"/>
                </m:rPr>
                <m:t>(</m:t>
              </m:r>
              <m:r>
                <m:t>t</m:t>
              </m:r>
              <m:r>
                <m:rPr>
                  <m:sty m:val="p"/>
                </m:rPr>
                <m:t>)</m:t>
              </m:r>
              <m:r>
                <m:rPr>
                  <m:sty m:val="p"/>
                </m:rPr>
                <m:t>−</m:t>
              </m:r>
              <m:sSub>
                <m:e>
                  <m:r>
                    <m:t>E</m:t>
                  </m:r>
                </m:e>
                <m:sub>
                  <m:r>
                    <m:rPr>
                      <m:sty m:val="p"/>
                    </m:rPr>
                    <m:t>f</m:t>
                  </m:r>
                  <m:r>
                    <m:rPr>
                      <m:sty m:val="p"/>
                    </m:rPr>
                    <m:t>l</m:t>
                  </m:r>
                  <m:r>
                    <m:rPr>
                      <m:sty m:val="p"/>
                    </m:rPr>
                    <m:t>t</m:t>
                  </m:r>
                  <m:r>
                    <m:rPr>
                      <m:sty m:val="p"/>
                    </m:rPr>
                    <m:t>,</m:t>
                  </m:r>
                  <m:r>
                    <m:t>a</m:t>
                  </m:r>
                </m:sub>
              </m:sSub>
              <m:r>
                <m:rPr>
                  <m:sty m:val="p"/>
                </m:rPr>
                <m:t>(</m:t>
              </m:r>
              <m:r>
                <m:t>t</m:t>
              </m:r>
              <m:r>
                <m:rPr>
                  <m:sty m:val="p"/>
                </m:rPr>
                <m:t>)</m:t>
              </m:r>
            </m:num>
            <m:den>
              <m:r>
                <m:t>B</m:t>
              </m:r>
            </m:den>
          </m:f>
          <m:r>
            <m:rPr>
              <m:sty m:val="p"/>
            </m:rPr>
            <m:t>,</m:t>
          </m:r>
        </m:oMath>
      </m:oMathPara>
    </w:p>
    <w:p>
      <w:pPr>
        <w:pStyle w:val="FirstParagraph"/>
      </w:pPr>
      <w:r>
        <w:rPr>
          <w:rFonts w:hint="eastAsia"/>
        </w:rPr>
        <w:t xml:space="preserve">其中</w:t>
      </w:r>
      <w:r>
        <w:t xml:space="preserve"> </w:t>
      </w:r>
      <m:oMath>
        <m:sSub>
          <m:e>
            <m:r>
              <m:t>E</m:t>
            </m:r>
          </m:e>
          <m:sub>
            <m:r>
              <m:rPr>
                <m:sty m:val="p"/>
              </m:rPr>
              <m:t>c</m:t>
            </m:r>
            <m:r>
              <m:rPr>
                <m:sty m:val="p"/>
              </m:rPr>
              <m:t>h</m:t>
            </m:r>
            <m:r>
              <m:rPr>
                <m:sty m:val="p"/>
              </m:rPr>
              <m:t>g</m:t>
            </m:r>
            <m:r>
              <m:rPr>
                <m:sty m:val="p"/>
              </m:rPr>
              <m:t>,</m:t>
            </m:r>
            <m:r>
              <m:t>a</m:t>
            </m:r>
          </m:sub>
        </m:sSub>
        <m:r>
          <m:rPr>
            <m:sty m:val="p"/>
          </m:rPr>
          <m:t>(</m:t>
        </m:r>
        <m:r>
          <m:t>t</m:t>
        </m:r>
        <m:r>
          <m:rPr>
            <m:sty m:val="p"/>
          </m:rPr>
          <m:t>)</m:t>
        </m:r>
        <m:r>
          <m:rPr>
            <m:sty m:val="p"/>
          </m:rPr>
          <m:t>=</m:t>
        </m:r>
        <m:sSub>
          <m:e>
            <m:r>
              <m:t>η</m:t>
            </m:r>
          </m:e>
          <m:sub>
            <m:r>
              <m:t>c</m:t>
            </m:r>
          </m:sub>
        </m:sSub>
        <m:sSub>
          <m:e>
            <m:r>
              <m:t>P</m:t>
            </m:r>
          </m:e>
          <m:sub>
            <m:r>
              <m:rPr>
                <m:sty m:val="p"/>
              </m:rPr>
              <m:t>g</m:t>
            </m:r>
            <m:r>
              <m:rPr>
                <m:sty m:val="p"/>
              </m:rPr>
              <m:t>r</m:t>
            </m:r>
            <m:r>
              <m:rPr>
                <m:sty m:val="p"/>
              </m:rPr>
              <m:t>i</m:t>
            </m:r>
            <m:r>
              <m:rPr>
                <m:sty m:val="p"/>
              </m:rPr>
              <m:t>d</m:t>
            </m:r>
            <m:r>
              <m:rPr>
                <m:sty m:val="p"/>
              </m:rPr>
              <m:t>,</m:t>
            </m:r>
            <m:r>
              <m:t>a</m:t>
            </m:r>
          </m:sub>
        </m:sSub>
        <m:r>
          <m:rPr>
            <m:sty m:val="p"/>
          </m:rPr>
          <m:t>(</m:t>
        </m:r>
        <m:r>
          <m:t>t</m:t>
        </m:r>
        <m:r>
          <m:rPr>
            <m:sty m:val="p"/>
          </m:rPr>
          <m:t>)</m:t>
        </m:r>
        <m:r>
          <m:rPr>
            <m:sty m:val="p"/>
          </m:rPr>
          <m:t>Δ</m:t>
        </m:r>
        <m:r>
          <m:t>t</m:t>
        </m:r>
      </m:oMath>
      <w:r>
        <w:t xml:space="preserve"> </w:t>
      </w:r>
      <w:r>
        <w:rPr>
          <w:rFonts w:hint="eastAsia"/>
        </w:rPr>
        <w:t xml:space="preserve">为充电桩送入电池的能量，</w:t>
      </w:r>
      <m:oMath>
        <m:sSub>
          <m:e>
            <m:r>
              <m:t>η</m:t>
            </m:r>
          </m:e>
          <m:sub>
            <m:r>
              <m:t>c</m:t>
            </m:r>
          </m:sub>
        </m:sSub>
        <m:r>
          <m:rPr>
            <m:sty m:val="p"/>
          </m:rPr>
          <m:t>=</m:t>
        </m:r>
        <m:r>
          <m:t>0.90</m:t>
        </m:r>
      </m:oMath>
      <w:r>
        <w:rPr>
          <w:rFonts w:hint="eastAsia"/>
        </w:rPr>
        <w:t xml:space="preserve">，</w:t>
      </w:r>
      <m:oMath>
        <m:r>
          <m:rPr>
            <m:sty m:val="p"/>
          </m:rPr>
          <m:t>Δ</m:t>
        </m:r>
        <m:r>
          <m:t>t</m:t>
        </m:r>
        <m:r>
          <m:rPr>
            <m:sty m:val="p"/>
          </m:rPr>
          <m:t>=</m:t>
        </m:r>
        <m:r>
          <m:t>1</m:t>
        </m:r>
        <m:r>
          <m:rPr>
            <m:sty m:val="p"/>
          </m:rPr>
          <m:t>/</m:t>
        </m:r>
        <m:r>
          <m:t>60</m:t>
        </m:r>
      </m:oMath>
      <w:r>
        <w:t xml:space="preserve"> </w:t>
      </w:r>
      <w:r>
        <w:rPr>
          <w:rFonts w:hint="eastAsia"/>
        </w:rPr>
        <w:t xml:space="preserve">h。派飞前，模型检查航空器完成候选飞行后的荷电状态是否至少为</w:t>
      </w:r>
      <w:r>
        <w:t xml:space="preserve"> </w:t>
      </w:r>
      <w:r>
        <w:rPr>
          <w:rFonts w:hint="eastAsia"/>
        </w:rPr>
        <w:t xml:space="preserve">0.20。该储备约束与</w:t>
      </w:r>
      <w:r>
        <w:t xml:space="preserve"> 0.50 </w:t>
      </w:r>
      <w:r>
        <w:rPr>
          <w:rFonts w:hint="eastAsia"/>
        </w:rPr>
        <w:t xml:space="preserve">机会充电触发、0.85</w:t>
      </w:r>
      <w:r>
        <w:t xml:space="preserve"> </w:t>
      </w:r>
      <w:r>
        <w:rPr>
          <w:rFonts w:hint="eastAsia"/>
        </w:rPr>
        <w:t xml:space="preserve">充电目标相互分离。</w:t>
      </w:r>
    </w:p>
    <w:bookmarkEnd w:id="19"/>
    <w:bookmarkStart w:id="20" w:name="物理充电桩与节点功率"/>
    <w:p>
      <w:pPr>
        <w:pStyle w:val="Heading3"/>
      </w:pPr>
      <w:r>
        <w:t xml:space="preserve">3.5 </w:t>
      </w:r>
      <w:r>
        <w:rPr>
          <w:rFonts w:hint="eastAsia"/>
        </w:rPr>
        <w:t xml:space="preserve">物理充电桩与节点功率</w:t>
      </w:r>
    </w:p>
    <w:p>
      <w:pPr>
        <w:pStyle w:val="FirstParagraph"/>
      </w:pPr>
      <w:r>
        <w:rPr>
          <w:rFonts w:hint="eastAsia"/>
        </w:rPr>
        <w:t xml:space="preserve">每个充电桩提供</w:t>
      </w:r>
      <w:r>
        <w:t xml:space="preserve"> 350 kW </w:t>
      </w:r>
      <w:r>
        <w:rPr>
          <w:rFonts w:hint="eastAsia"/>
        </w:rPr>
        <w:t xml:space="preserve">电网侧额定功率。基准机场设置</w:t>
      </w:r>
      <w:r>
        <w:t xml:space="preserve"> 5 </w:t>
      </w:r>
      <w:r>
        <w:rPr>
          <w:rFonts w:hint="eastAsia"/>
        </w:rPr>
        <w:t xml:space="preserve">台充电桩，紧资源情景设置</w:t>
      </w:r>
      <w:r>
        <w:t xml:space="preserve"> 2 </w:t>
      </w:r>
      <w:r>
        <w:rPr>
          <w:rFonts w:hint="eastAsia"/>
        </w:rPr>
        <w:t xml:space="preserve">台，每个需求区设置</w:t>
      </w:r>
      <w:r>
        <w:t xml:space="preserve"> 1 </w:t>
      </w:r>
      <w:r>
        <w:rPr>
          <w:rFonts w:hint="eastAsia"/>
        </w:rPr>
        <w:t xml:space="preserve">台。每次</w:t>
      </w:r>
      <w:r>
        <w:t xml:space="preserve"> 1 </w:t>
      </w:r>
      <w:r>
        <w:rPr>
          <w:rFonts w:hint="eastAsia"/>
        </w:rPr>
        <w:t xml:space="preserve">分钟更新内充电不可抢占。若节点所有充电桩被占用，符合条件的航空器获得单调排队序号并先到先服务。节点功率等于活动充电桩功率之和，包含最后一分钟的部分功率。由于需求区充电可能同时发生，网络功率可以超过机场额定容量。</w:t>
      </w:r>
    </w:p>
    <w:bookmarkEnd w:id="20"/>
    <w:bookmarkStart w:id="21" w:name="数值时钟与核算边界"/>
    <w:p>
      <w:pPr>
        <w:pStyle w:val="Heading3"/>
      </w:pPr>
      <w:r>
        <w:t xml:space="preserve">3.6 </w:t>
      </w:r>
      <w:r>
        <w:rPr>
          <w:rFonts w:hint="eastAsia"/>
        </w:rPr>
        <w:t xml:space="preserve">数值时钟与核算边界</w:t>
      </w:r>
    </w:p>
    <w:p>
      <w:pPr>
        <w:pStyle w:val="FirstParagraph"/>
      </w:pPr>
      <w:r>
        <w:rPr>
          <w:rFonts w:hint="eastAsia"/>
        </w:rPr>
        <w:t xml:space="preserve">内核以</w:t>
      </w:r>
      <w:r>
        <w:t xml:space="preserve"> 1 </w:t>
      </w:r>
      <w:r>
        <w:rPr>
          <w:rFonts w:hint="eastAsia"/>
        </w:rPr>
        <w:t xml:space="preserve">分钟步长推进，按固定实现顺序处理活动完成、到达、触发、本地分配、服务必需空机派飞、充电请求、充电桩分配、荷电状态更新和功率核算。模型是基于事件规则的状态转移模型，不是下一事件离散事件仿真。</w:t>
      </w:r>
    </w:p>
    <w:p>
      <w:pPr>
        <w:pStyle w:val="BodyText"/>
      </w:pPr>
      <w:r>
        <w:t xml:space="preserve">60 </w:t>
      </w:r>
      <w:r>
        <w:rPr>
          <w:rFonts w:hint="eastAsia"/>
        </w:rPr>
        <w:t xml:space="preserve">分钟预热期从</w:t>
      </w:r>
      <w:r>
        <w:t xml:space="preserve"> </w:t>
      </w:r>
      <m:oMath>
        <m:r>
          <m:t>t</m:t>
        </m:r>
        <m:r>
          <m:rPr>
            <m:sty m:val="p"/>
          </m:rPr>
          <m:t>=</m:t>
        </m:r>
        <m:r>
          <m:rPr>
            <m:sty m:val="p"/>
          </m:rPr>
          <m:t>−</m:t>
        </m:r>
        <m:r>
          <m:t>60</m:t>
        </m:r>
      </m:oMath>
      <w:r>
        <w:t xml:space="preserve"> </w:t>
      </w:r>
      <w:r>
        <w:rPr>
          <w:rFonts w:hint="eastAsia"/>
        </w:rPr>
        <w:t xml:space="preserve">到</w:t>
      </w:r>
      <w:r>
        <w:t xml:space="preserve"> 0 </w:t>
      </w:r>
      <w:r>
        <w:rPr>
          <w:rFonts w:hint="eastAsia"/>
        </w:rPr>
        <w:t xml:space="preserve">分钟运行，状态在</w:t>
      </w:r>
      <w:r>
        <w:t xml:space="preserve"> </w:t>
      </w:r>
      <m:oMath>
        <m:r>
          <m:t>t</m:t>
        </m:r>
        <m:r>
          <m:rPr>
            <m:sty m:val="p"/>
          </m:rPr>
          <m:t>=</m:t>
        </m:r>
        <m:r>
          <m:t>0</m:t>
        </m:r>
      </m:oMath>
      <w:r>
        <w:t xml:space="preserve"> </w:t>
      </w:r>
      <w:r>
        <w:rPr>
          <w:rFonts w:hint="eastAsia"/>
        </w:rPr>
        <w:t xml:space="preserve">被继承而不重置。正式窗口为</w:t>
      </w:r>
      <w:r>
        <w:t xml:space="preserve"> </w:t>
      </w:r>
      <m:oMath>
        <m:r>
          <m:t>t</m:t>
        </m:r>
        <m:r>
          <m:rPr>
            <m:sty m:val="p"/>
          </m:rPr>
          <m:t>=</m:t>
        </m:r>
        <m:r>
          <m:t>0</m:t>
        </m:r>
      </m:oMath>
      <w:r>
        <w:t xml:space="preserve"> </w:t>
      </w:r>
      <w:r>
        <w:rPr>
          <w:rFonts w:hint="eastAsia"/>
        </w:rPr>
        <w:t xml:space="preserve">到</w:t>
      </w:r>
      <w:r>
        <w:t xml:space="preserve"> 119 </w:t>
      </w:r>
      <w:r>
        <w:rPr>
          <w:rFonts w:hint="eastAsia"/>
        </w:rPr>
        <w:t xml:space="preserve">分钟，新到达在</w:t>
      </w:r>
      <w:r>
        <w:t xml:space="preserve"> </w:t>
      </w:r>
      <m:oMath>
        <m:r>
          <m:t>t</m:t>
        </m:r>
        <m:r>
          <m:rPr>
            <m:sty m:val="p"/>
          </m:rPr>
          <m:t>=</m:t>
        </m:r>
        <m:r>
          <m:t>120</m:t>
        </m:r>
      </m:oMath>
      <w:r>
        <w:t xml:space="preserve"> </w:t>
      </w:r>
      <w:r>
        <w:rPr>
          <w:rFonts w:hint="eastAsia"/>
        </w:rPr>
        <w:t xml:space="preserve">停止。能量采用固定窗口端点和状态闭合端点两种口径。状态闭合端点继续运行到所有乘客队列清空且所有航空器空闲，受</w:t>
      </w:r>
      <w:r>
        <w:t xml:space="preserve"> 180 </w:t>
      </w:r>
      <w:r>
        <w:rPr>
          <w:rFonts w:hint="eastAsia"/>
        </w:rPr>
        <w:t xml:space="preserve">分钟保护上限限制；它闭合服务和航空器活动，但不均衡终端荷电状态。这一区分避免把延迟充电误认为已完成服务能量的减少。</w:t>
      </w:r>
    </w:p>
    <w:bookmarkEnd w:id="21"/>
    <w:bookmarkStart w:id="22" w:name="守恒检查与不确定性"/>
    <w:p>
      <w:pPr>
        <w:pStyle w:val="Heading3"/>
      </w:pPr>
      <w:r>
        <w:t xml:space="preserve">3.7 </w:t>
      </w:r>
      <w:r>
        <w:rPr>
          <w:rFonts w:hint="eastAsia"/>
        </w:rPr>
        <w:t xml:space="preserve">守恒检查与不确定性</w:t>
      </w:r>
    </w:p>
    <w:p>
      <w:pPr>
        <w:pStyle w:val="FirstParagraph"/>
      </w:pPr>
      <w:r>
        <w:rPr>
          <w:rFonts w:hint="eastAsia"/>
        </w:rPr>
        <w:t xml:space="preserve">四项守恒检查必须满足：乘客账本唯一、完整且不重复；航空器位置与状态总数恒定且状态互斥；每一步机队电池能量变化等于充电获得电池能量减去飞行消耗能量；功率积分等于电网能量，充电占用不超过物理桩数。所有运行必须闭合并通过检查，才能进入统计分析。</w:t>
      </w:r>
    </w:p>
    <w:p>
      <w:pPr>
        <w:pStyle w:val="BodyText"/>
      </w:pPr>
      <w:r>
        <w:rPr>
          <w:rFonts w:hint="eastAsia"/>
        </w:rPr>
        <w:t xml:space="preserve">每情景使用</w:t>
      </w:r>
      <w:r>
        <w:t xml:space="preserve"> 30 </w:t>
      </w:r>
      <w:r>
        <w:rPr>
          <w:rFonts w:hint="eastAsia"/>
        </w:rPr>
        <w:t xml:space="preserve">个共同随机种子。配对差异使用种子级匹配，报告重复均值的双侧</w:t>
      </w:r>
      <w:r>
        <w:t xml:space="preserve"> 95% </w:t>
      </w:r>
      <w:r>
        <w:rPr>
          <w:rFonts w:hint="eastAsia"/>
        </w:rPr>
        <w:t xml:space="preserve">置信区间。表征充分性判断使用配对误差置信区间的上端。这是预先注册的不确定性保护带；通过阈值不被解释为与</w:t>
      </w:r>
      <w:r>
        <w:t xml:space="preserve"> F4 </w:t>
      </w:r>
      <w:r>
        <w:rPr>
          <w:rFonts w:hint="eastAsia"/>
        </w:rPr>
        <w:t xml:space="preserve">统计等价。</w:t>
      </w:r>
    </w:p>
    <w:bookmarkEnd w:id="22"/>
    <w:bookmarkEnd w:id="23"/>
    <w:bookmarkStart w:id="28" w:name="实验设计"/>
    <w:p>
      <w:pPr>
        <w:pStyle w:val="Heading2"/>
      </w:pPr>
      <w:r>
        <w:t xml:space="preserve">4. </w:t>
      </w:r>
      <w:r>
        <w:rPr>
          <w:rFonts w:hint="eastAsia"/>
        </w:rPr>
        <w:t xml:space="preserve">实验设计</w:t>
      </w:r>
    </w:p>
    <w:bookmarkStart w:id="24" w:name="情景矩阵"/>
    <w:p>
      <w:pPr>
        <w:pStyle w:val="Heading3"/>
      </w:pPr>
      <w:r>
        <w:t xml:space="preserve">4.1 </w:t>
      </w:r>
      <w:r>
        <w:rPr>
          <w:rFonts w:hint="eastAsia"/>
        </w:rPr>
        <w:t xml:space="preserve">情景矩阵</w:t>
      </w:r>
    </w:p>
    <w:p>
      <w:pPr>
        <w:pStyle w:val="FirstParagraph"/>
      </w:pPr>
      <w:r>
        <w:rPr>
          <w:rFonts w:hint="eastAsia"/>
        </w:rPr>
        <w:t xml:space="preserve">完整模型采用</w:t>
      </w:r>
      <w:r>
        <w:t xml:space="preserve"> 10 </w:t>
      </w:r>
      <w:r>
        <w:rPr>
          <w:rFonts w:hint="eastAsia"/>
        </w:rPr>
        <w:t xml:space="preserve">个情景，改变四个机制维度，而不是遍历全部原始参数。表</w:t>
      </w:r>
      <w:r>
        <w:t xml:space="preserve"> 1 </w:t>
      </w:r>
      <w:r>
        <w:rPr>
          <w:rFonts w:hint="eastAsia"/>
        </w:rPr>
        <w:t xml:space="preserve">列出相对基准的变化。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情景</w:t>
            </w:r>
          </w:p>
        </w:tc>
        <w:tc>
          <w:tcPr/>
          <w:p>
            <w:pPr>
              <w:pStyle w:val="Compact"/>
            </w:pPr>
            <w:r>
              <w:rPr>
                <w:rFonts w:hint="eastAsia"/>
              </w:rPr>
              <w:t xml:space="preserve">相对基准的变化</w:t>
            </w:r>
          </w:p>
        </w:tc>
        <w:tc>
          <w:tcPr/>
          <w:p>
            <w:pPr>
              <w:pStyle w:val="Compact"/>
            </w:pPr>
            <w:r>
              <w:rPr>
                <w:rFonts w:hint="eastAsia"/>
              </w:rPr>
              <w:t xml:space="preserve">隔离机制</w:t>
            </w:r>
          </w:p>
        </w:tc>
      </w:tr>
      <w:tr>
        <w:tc>
          <w:tcPr/>
          <w:p>
            <w:pPr>
              <w:pStyle w:val="Compact"/>
            </w:pPr>
            <w:r>
              <w:t xml:space="preserve">M0</w:t>
            </w:r>
          </w:p>
        </w:tc>
        <w:tc>
          <w:tcPr/>
          <w:p>
            <w:pPr>
              <w:pStyle w:val="Compact"/>
            </w:pPr>
            <w:r>
              <w:rPr>
                <w:rFonts w:hint="eastAsia"/>
              </w:rPr>
              <w:t xml:space="preserve">基准</w:t>
            </w:r>
          </w:p>
        </w:tc>
        <w:tc>
          <w:tcPr/>
          <w:p>
            <w:pPr>
              <w:pStyle w:val="Compact"/>
            </w:pPr>
            <w:r>
              <w:rPr>
                <w:rFonts w:hint="eastAsia"/>
              </w:rPr>
              <w:t xml:space="preserve">无</w:t>
            </w:r>
          </w:p>
        </w:tc>
        <w:tc>
          <w:tcPr/>
          <w:p>
            <w:pPr>
              <w:pStyle w:val="Compact"/>
            </w:pPr>
            <w:r>
              <w:rPr>
                <w:rFonts w:hint="eastAsia"/>
              </w:rPr>
              <w:t xml:space="preserve">参考配置</w:t>
            </w:r>
          </w:p>
        </w:tc>
      </w:tr>
      <w:tr>
        <w:tc>
          <w:tcPr/>
          <w:p>
            <w:pPr>
              <w:pStyle w:val="Compact"/>
            </w:pPr>
            <w:r>
              <w:t xml:space="preserve">M1</w:t>
            </w:r>
          </w:p>
        </w:tc>
        <w:tc>
          <w:tcPr/>
          <w:p>
            <w:pPr>
              <w:pStyle w:val="Compact"/>
            </w:pPr>
            <w:r>
              <w:rPr>
                <w:rFonts w:hint="eastAsia"/>
              </w:rPr>
              <w:t xml:space="preserve">低需求</w:t>
            </w:r>
          </w:p>
        </w:tc>
        <w:tc>
          <w:tcPr/>
          <w:p>
            <w:pPr>
              <w:pStyle w:val="Compact"/>
            </w:pPr>
            <m:oMath>
              <m:r>
                <m:t>η</m:t>
              </m:r>
              <m:r>
                <m:rPr>
                  <m:sty m:val="p"/>
                </m:rPr>
                <m:t>=</m:t>
              </m:r>
              <m:r>
                <m:t>0.75</m:t>
              </m:r>
            </m:oMath>
            <w:r>
              <w:t xml:space="preserve">​</w:t>
            </w:r>
          </w:p>
        </w:tc>
        <w:tc>
          <w:tcPr/>
          <w:p>
            <w:pPr>
              <w:pStyle w:val="Compact"/>
            </w:pPr>
            <w:r>
              <w:rPr>
                <w:rFonts w:hint="eastAsia"/>
              </w:rPr>
              <w:t xml:space="preserve">低运行压力</w:t>
            </w:r>
          </w:p>
        </w:tc>
      </w:tr>
      <w:tr>
        <w:tc>
          <w:tcPr/>
          <w:p>
            <w:pPr>
              <w:pStyle w:val="Compact"/>
            </w:pPr>
            <w:r>
              <w:t xml:space="preserve">M2</w:t>
            </w:r>
          </w:p>
        </w:tc>
        <w:tc>
          <w:tcPr/>
          <w:p>
            <w:pPr>
              <w:pStyle w:val="Compact"/>
            </w:pPr>
            <w:r>
              <w:rPr>
                <w:rFonts w:hint="eastAsia"/>
              </w:rPr>
              <w:t xml:space="preserve">高需求</w:t>
            </w:r>
          </w:p>
        </w:tc>
        <w:tc>
          <w:tcPr/>
          <w:p>
            <w:pPr>
              <w:pStyle w:val="Compact"/>
            </w:pPr>
            <m:oMath>
              <m:r>
                <m:t>η</m:t>
              </m:r>
              <m:r>
                <m:rPr>
                  <m:sty m:val="p"/>
                </m:rPr>
                <m:t>=</m:t>
              </m:r>
              <m:r>
                <m:t>1.25</m:t>
              </m:r>
            </m:oMath>
            <w:r>
              <w:t xml:space="preserve">​</w:t>
            </w:r>
          </w:p>
        </w:tc>
        <w:tc>
          <w:tcPr/>
          <w:p>
            <w:pPr>
              <w:pStyle w:val="Compact"/>
            </w:pPr>
            <w:r>
              <w:rPr>
                <w:rFonts w:hint="eastAsia"/>
              </w:rPr>
              <w:t xml:space="preserve">接近饱和的运行压力</w:t>
            </w:r>
          </w:p>
        </w:tc>
      </w:tr>
      <w:tr>
        <w:tc>
          <w:tcPr/>
          <w:p>
            <w:pPr>
              <w:pStyle w:val="Compact"/>
            </w:pPr>
            <w:r>
              <w:t xml:space="preserve">M3</w:t>
            </w:r>
          </w:p>
        </w:tc>
        <w:tc>
          <w:tcPr/>
          <w:p>
            <w:pPr>
              <w:pStyle w:val="Compact"/>
            </w:pPr>
            <w:r>
              <w:rPr>
                <w:rFonts w:hint="eastAsia"/>
              </w:rPr>
              <w:t xml:space="preserve">短距离集中</w:t>
            </w:r>
          </w:p>
        </w:tc>
        <w:tc>
          <w:tcPr/>
          <w:p>
            <w:pPr>
              <w:pStyle w:val="Compact"/>
            </w:pPr>
            <m:oMath>
              <m:r>
                <m:t>α</m:t>
              </m:r>
              <m:r>
                <m:rPr>
                  <m:sty m:val="p"/>
                </m:rPr>
                <m:t>=</m:t>
              </m:r>
              <m:r>
                <m:rPr>
                  <m:sty m:val="p"/>
                </m:rPr>
                <m:t>(</m:t>
              </m:r>
              <m:r>
                <m:t>0.4</m:t>
              </m:r>
              <m:r>
                <m:rPr>
                  <m:sty m:val="p"/>
                </m:rPr>
                <m:t>,</m:t>
              </m:r>
              <m:r>
                <m:t>0.3</m:t>
              </m:r>
              <m:r>
                <m:rPr>
                  <m:sty m:val="p"/>
                </m:rPr>
                <m:t>,</m:t>
              </m:r>
              <m:r>
                <m:t>0.2</m:t>
              </m:r>
              <m:r>
                <m:rPr>
                  <m:sty m:val="p"/>
                </m:rPr>
                <m:t>,</m:t>
              </m:r>
              <m:r>
                <m:t>0.1</m:t>
              </m:r>
              <m:r>
                <m:rPr>
                  <m:sty m:val="p"/>
                </m:rPr>
                <m:t>)</m:t>
              </m:r>
            </m:oMath>
            <w:r>
              <w:t xml:space="preserve">​</w:t>
            </w:r>
          </w:p>
        </w:tc>
        <w:tc>
          <w:tcPr/>
          <w:p>
            <w:pPr>
              <w:pStyle w:val="Compact"/>
            </w:pPr>
            <w:r>
              <w:rPr>
                <w:rFonts w:hint="eastAsia"/>
              </w:rPr>
              <w:t xml:space="preserve">集中但能量暴露较低</w:t>
            </w:r>
          </w:p>
        </w:tc>
      </w:tr>
      <w:tr>
        <w:tc>
          <w:tcPr/>
          <w:p>
            <w:pPr>
              <w:pStyle w:val="Compact"/>
            </w:pPr>
            <w:r>
              <w:t xml:space="preserve">M4</w:t>
            </w:r>
          </w:p>
        </w:tc>
        <w:tc>
          <w:tcPr/>
          <w:p>
            <w:pPr>
              <w:pStyle w:val="Compact"/>
            </w:pPr>
            <w:r>
              <w:rPr>
                <w:rFonts w:hint="eastAsia"/>
              </w:rPr>
              <w:t xml:space="preserve">长距离集中</w:t>
            </w:r>
          </w:p>
        </w:tc>
        <w:tc>
          <w:tcPr/>
          <w:p>
            <w:pPr>
              <w:pStyle w:val="Compact"/>
            </w:pPr>
            <m:oMath>
              <m:r>
                <m:t>α</m:t>
              </m:r>
              <m:r>
                <m:rPr>
                  <m:sty m:val="p"/>
                </m:rPr>
                <m:t>=</m:t>
              </m:r>
              <m:r>
                <m:rPr>
                  <m:sty m:val="p"/>
                </m:rPr>
                <m:t>(</m:t>
              </m:r>
              <m:r>
                <m:t>0.1</m:t>
              </m:r>
              <m:r>
                <m:rPr>
                  <m:sty m:val="p"/>
                </m:rPr>
                <m:t>,</m:t>
              </m:r>
              <m:r>
                <m:t>0.2</m:t>
              </m:r>
              <m:r>
                <m:rPr>
                  <m:sty m:val="p"/>
                </m:rPr>
                <m:t>,</m:t>
              </m:r>
              <m:r>
                <m:t>0.3</m:t>
              </m:r>
              <m:r>
                <m:rPr>
                  <m:sty m:val="p"/>
                </m:rPr>
                <m:t>,</m:t>
              </m:r>
              <m:r>
                <m:t>0.4</m:t>
              </m:r>
              <m:r>
                <m:rPr>
                  <m:sty m:val="p"/>
                </m:rPr>
                <m:t>)</m:t>
              </m:r>
            </m:oMath>
            <w:r>
              <w:t xml:space="preserve">​</w:t>
            </w:r>
          </w:p>
        </w:tc>
        <w:tc>
          <w:tcPr/>
          <w:p>
            <w:pPr>
              <w:pStyle w:val="Compact"/>
            </w:pPr>
            <w:r>
              <w:rPr>
                <w:rFonts w:hint="eastAsia"/>
              </w:rPr>
              <w:t xml:space="preserve">集中且能量暴露较高</w:t>
            </w:r>
          </w:p>
        </w:tc>
      </w:tr>
      <w:tr>
        <w:tc>
          <w:tcPr/>
          <w:p>
            <w:pPr>
              <w:pStyle w:val="Compact"/>
            </w:pPr>
            <w:r>
              <w:t xml:space="preserve">M5</w:t>
            </w:r>
          </w:p>
        </w:tc>
        <w:tc>
          <w:tcPr/>
          <w:p>
            <w:pPr>
              <w:pStyle w:val="Compact"/>
            </w:pPr>
            <w:r>
              <w:rPr>
                <w:rFonts w:hint="eastAsia"/>
              </w:rPr>
              <w:t xml:space="preserve">同质距离</w:t>
            </w:r>
          </w:p>
        </w:tc>
        <w:tc>
          <w:tcPr/>
          <w:p>
            <w:pPr>
              <w:pStyle w:val="Compact"/>
            </w:pPr>
            <m:oMath>
              <m:sSub>
                <m:e>
                  <m:r>
                    <m:t>d</m:t>
                  </m:r>
                </m:e>
                <m:sub>
                  <m:r>
                    <m:t>i</m:t>
                  </m:r>
                </m:sub>
              </m:sSub>
              <m:r>
                <m:rPr>
                  <m:sty m:val="p"/>
                </m:rPr>
                <m:t>=</m:t>
              </m:r>
              <m:r>
                <m:rPr>
                  <m:sty m:val="p"/>
                </m:rPr>
                <m:t>(</m:t>
              </m:r>
              <m:r>
                <m:t>10</m:t>
              </m:r>
              <m:r>
                <m:rPr>
                  <m:sty m:val="p"/>
                </m:rPr>
                <m:t>,</m:t>
              </m:r>
              <m:r>
                <m:t>10</m:t>
              </m:r>
              <m:r>
                <m:rPr>
                  <m:sty m:val="p"/>
                </m:rPr>
                <m:t>,</m:t>
              </m:r>
              <m:r>
                <m:t>10</m:t>
              </m:r>
              <m:r>
                <m:rPr>
                  <m:sty m:val="p"/>
                </m:rPr>
                <m:t>,</m:t>
              </m:r>
              <m:r>
                <m:t>10</m:t>
              </m:r>
              <m:r>
                <m:rPr>
                  <m:sty m:val="p"/>
                </m:rPr>
                <m:t>)</m:t>
              </m:r>
            </m:oMath>
            <w:r>
              <w:t xml:space="preserve"> </w:t>
            </w:r>
            <w:r>
              <w:t xml:space="preserve">km</w:t>
            </w:r>
          </w:p>
        </w:tc>
        <w:tc>
          <w:tcPr/>
          <w:p>
            <w:pPr>
              <w:pStyle w:val="Compact"/>
            </w:pPr>
            <w:r>
              <w:rPr>
                <w:rFonts w:hint="eastAsia"/>
              </w:rPr>
              <w:t xml:space="preserve">消除距离异质性</w:t>
            </w:r>
          </w:p>
        </w:tc>
      </w:tr>
      <w:tr>
        <w:tc>
          <w:tcPr/>
          <w:p>
            <w:pPr>
              <w:pStyle w:val="Compact"/>
            </w:pPr>
            <w:r>
              <w:t xml:space="preserve">M6</w:t>
            </w:r>
          </w:p>
        </w:tc>
        <w:tc>
          <w:tcPr/>
          <w:p>
            <w:pPr>
              <w:pStyle w:val="Compact"/>
            </w:pPr>
            <w:r>
              <w:rPr>
                <w:rFonts w:hint="eastAsia"/>
              </w:rPr>
              <w:t xml:space="preserve">低能量边界</w:t>
            </w:r>
          </w:p>
        </w:tc>
        <w:tc>
          <w:tcPr/>
          <w:p>
            <w:pPr>
              <w:pStyle w:val="Compact"/>
            </w:pPr>
            <w:r>
              <w:rPr>
                <w:rFonts w:hint="eastAsia"/>
              </w:rPr>
              <w:t xml:space="preserve">替代任务能量映射</w:t>
            </w:r>
          </w:p>
        </w:tc>
        <w:tc>
          <w:tcPr/>
          <w:p>
            <w:pPr>
              <w:pStyle w:val="Compact"/>
            </w:pPr>
            <w:r>
              <w:rPr>
                <w:rFonts w:hint="eastAsia"/>
              </w:rPr>
              <w:t xml:space="preserve">航空器性能边界</w:t>
            </w:r>
          </w:p>
        </w:tc>
      </w:tr>
      <w:tr>
        <w:tc>
          <w:tcPr/>
          <w:p>
            <w:pPr>
              <w:pStyle w:val="Compact"/>
            </w:pPr>
            <w:r>
              <w:t xml:space="preserve">M7</w:t>
            </w:r>
          </w:p>
        </w:tc>
        <w:tc>
          <w:tcPr/>
          <w:p>
            <w:pPr>
              <w:pStyle w:val="Compact"/>
            </w:pPr>
            <w:r>
              <w:rPr>
                <w:rFonts w:hint="eastAsia"/>
              </w:rPr>
              <w:t xml:space="preserve">紧充电</w:t>
            </w:r>
          </w:p>
        </w:tc>
        <w:tc>
          <w:tcPr/>
          <w:p>
            <w:pPr>
              <w:pStyle w:val="Compact"/>
            </w:pPr>
            <w:r>
              <w:rPr>
                <w:rFonts w:hint="eastAsia"/>
              </w:rPr>
              <w:t xml:space="preserve">机场充电桩</w:t>
            </w:r>
            <w:r>
              <w:t xml:space="preserve"> 5 </w:t>
            </w:r>
            <w:r>
              <w:rPr>
                <w:rFonts w:hint="eastAsia"/>
              </w:rPr>
              <w:t xml:space="preserve">台减为</w:t>
            </w:r>
            <w:r>
              <w:t xml:space="preserve"> 2 </w:t>
            </w:r>
            <w:r>
              <w:rPr>
                <w:rFonts w:hint="eastAsia"/>
              </w:rPr>
              <w:t xml:space="preserve">台</w:t>
            </w:r>
          </w:p>
        </w:tc>
        <w:tc>
          <w:tcPr/>
          <w:p>
            <w:pPr>
              <w:pStyle w:val="Compact"/>
            </w:pPr>
            <w:r>
              <w:rPr>
                <w:rFonts w:hint="eastAsia"/>
              </w:rPr>
              <w:t xml:space="preserve">物理充电桩竞争</w:t>
            </w:r>
          </w:p>
        </w:tc>
      </w:tr>
      <w:tr>
        <w:tc>
          <w:tcPr/>
          <w:p>
            <w:pPr>
              <w:pStyle w:val="Compact"/>
            </w:pPr>
            <w:r>
              <w:t xml:space="preserve">M9</w:t>
            </w:r>
          </w:p>
        </w:tc>
        <w:tc>
          <w:tcPr/>
          <w:p>
            <w:pPr>
              <w:pStyle w:val="Compact"/>
            </w:pPr>
            <w:r>
              <w:rPr>
                <w:rFonts w:hint="eastAsia"/>
              </w:rPr>
              <w:t xml:space="preserve">高需求与紧充电</w:t>
            </w:r>
          </w:p>
        </w:tc>
        <w:tc>
          <w:tcPr/>
          <w:p>
            <w:pPr>
              <w:pStyle w:val="Compact"/>
            </w:pPr>
            <w:r>
              <w:t xml:space="preserve">M2 + M7</w:t>
            </w:r>
          </w:p>
        </w:tc>
        <w:tc>
          <w:tcPr/>
          <w:p>
            <w:pPr>
              <w:pStyle w:val="Compact"/>
            </w:pPr>
            <w:r>
              <w:rPr>
                <w:rFonts w:hint="eastAsia"/>
              </w:rPr>
              <w:t xml:space="preserve">需求—资源交互</w:t>
            </w:r>
          </w:p>
        </w:tc>
      </w:tr>
      <w:tr>
        <w:tc>
          <w:tcPr/>
          <w:p>
            <w:pPr>
              <w:pStyle w:val="Compact"/>
            </w:pPr>
            <w:r>
              <w:t xml:space="preserve">M10</w:t>
            </w:r>
          </w:p>
        </w:tc>
        <w:tc>
          <w:tcPr/>
          <w:p>
            <w:pPr>
              <w:pStyle w:val="Compact"/>
            </w:pPr>
            <w:r>
              <w:rPr>
                <w:rFonts w:hint="eastAsia"/>
              </w:rPr>
              <w:t xml:space="preserve">长距离与紧充电</w:t>
            </w:r>
          </w:p>
        </w:tc>
        <w:tc>
          <w:tcPr/>
          <w:p>
            <w:pPr>
              <w:pStyle w:val="Compact"/>
            </w:pPr>
            <w:r>
              <w:t xml:space="preserve">M4 + M7</w:t>
            </w:r>
          </w:p>
        </w:tc>
        <w:tc>
          <w:tcPr/>
          <w:p>
            <w:pPr>
              <w:pStyle w:val="Compact"/>
            </w:pPr>
            <w:r>
              <w:rPr>
                <w:rFonts w:hint="eastAsia"/>
              </w:rPr>
              <w:t xml:space="preserve">空间—能量—资源交互</w:t>
            </w:r>
          </w:p>
        </w:tc>
      </w:tr>
    </w:tbl>
    <w:bookmarkEnd w:id="24"/>
    <w:bookmarkStart w:id="25" w:name="嵌套保真度阶梯"/>
    <w:p>
      <w:pPr>
        <w:pStyle w:val="Heading3"/>
      </w:pPr>
      <w:r>
        <w:t xml:space="preserve">4.2 </w:t>
      </w:r>
      <w:r>
        <w:rPr>
          <w:rFonts w:hint="eastAsia"/>
        </w:rPr>
        <w:t xml:space="preserve">嵌套保真度阶梯</w:t>
      </w:r>
    </w:p>
    <w:p>
      <w:pPr>
        <w:pStyle w:val="FirstParagraph"/>
      </w:pPr>
      <w:r>
        <w:rPr>
          <w:rFonts w:hint="eastAsia"/>
        </w:rPr>
        <w:t xml:space="preserve">保真度实验以</w:t>
      </w:r>
      <w:r>
        <w:t xml:space="preserve"> M0、M2、M4、M9 </w:t>
      </w:r>
      <w:r>
        <w:rPr>
          <w:rFonts w:hint="eastAsia"/>
        </w:rPr>
        <w:t xml:space="preserve">为四个锚点，比较五层嵌套表征：</w:t>
      </w:r>
    </w:p>
    <w:p>
      <w:pPr>
        <w:pStyle w:val="Compact"/>
        <w:numPr>
          <w:ilvl w:val="0"/>
          <w:numId w:val="1002"/>
        </w:numPr>
      </w:pPr>
      <w:r>
        <w:rPr>
          <w:b/>
          <w:bCs/>
        </w:rPr>
        <w:t xml:space="preserve">F0 </w:t>
      </w:r>
      <w:r>
        <w:rPr>
          <w:rFonts w:hint="eastAsia"/>
          <w:b/>
          <w:bCs/>
        </w:rPr>
        <w:t xml:space="preserve">乘客换算</w:t>
      </w:r>
      <w:r>
        <w:rPr>
          <w:rFonts w:hint="eastAsia"/>
        </w:rPr>
        <w:t xml:space="preserve">：乘客到达直接换算为充电能量。</w:t>
      </w:r>
    </w:p>
    <w:p>
      <w:pPr>
        <w:pStyle w:val="Compact"/>
        <w:numPr>
          <w:ilvl w:val="0"/>
          <w:numId w:val="1002"/>
        </w:numPr>
      </w:pPr>
      <w:r>
        <w:rPr>
          <w:b/>
          <w:bCs/>
        </w:rPr>
        <w:t xml:space="preserve">F1 </w:t>
      </w:r>
      <w:r>
        <w:rPr>
          <w:rFonts w:hint="eastAsia"/>
          <w:b/>
          <w:bCs/>
        </w:rPr>
        <w:t xml:space="preserve">航班生成</w:t>
      </w:r>
      <w:r>
        <w:rPr>
          <w:rFonts w:hint="eastAsia"/>
        </w:rPr>
        <w:t xml:space="preserve">：加入队列、成批和载客飞行，虚拟航空器不受限。</w:t>
      </w:r>
    </w:p>
    <w:p>
      <w:pPr>
        <w:pStyle w:val="Compact"/>
        <w:numPr>
          <w:ilvl w:val="0"/>
          <w:numId w:val="1002"/>
        </w:numPr>
      </w:pPr>
      <w:r>
        <w:rPr>
          <w:b/>
          <w:bCs/>
        </w:rPr>
        <w:t xml:space="preserve">F2 </w:t>
      </w:r>
      <w:r>
        <w:rPr>
          <w:rFonts w:hint="eastAsia"/>
          <w:b/>
          <w:bCs/>
        </w:rPr>
        <w:t xml:space="preserve">有限机队</w:t>
      </w:r>
      <w:r>
        <w:rPr>
          <w:rFonts w:hint="eastAsia"/>
        </w:rPr>
        <w:t xml:space="preserve">：加入航空器位置、有限周转和服务必需空机返场，但省略荷电状态与物理充电资源。</w:t>
      </w:r>
    </w:p>
    <w:p>
      <w:pPr>
        <w:pStyle w:val="Compact"/>
        <w:numPr>
          <w:ilvl w:val="0"/>
          <w:numId w:val="1002"/>
        </w:numPr>
      </w:pPr>
      <w:r>
        <w:rPr>
          <w:b/>
          <w:bCs/>
        </w:rPr>
        <w:t xml:space="preserve">F3 </w:t>
      </w:r>
      <w:r>
        <w:rPr>
          <w:rFonts w:hint="eastAsia"/>
          <w:b/>
          <w:bCs/>
        </w:rPr>
        <w:t xml:space="preserve">荷电状态可行性</w:t>
      </w:r>
      <w:r>
        <w:rPr>
          <w:rFonts w:hint="eastAsia"/>
        </w:rPr>
        <w:t xml:space="preserve">：加入连续荷电状态、储备、充电触发和不受限充电资源。</w:t>
      </w:r>
    </w:p>
    <w:p>
      <w:pPr>
        <w:pStyle w:val="Compact"/>
        <w:numPr>
          <w:ilvl w:val="0"/>
          <w:numId w:val="1002"/>
        </w:numPr>
      </w:pPr>
      <w:r>
        <w:rPr>
          <w:b/>
          <w:bCs/>
        </w:rPr>
        <w:t xml:space="preserve">F4 </w:t>
      </w:r>
      <w:r>
        <w:rPr>
          <w:rFonts w:hint="eastAsia"/>
          <w:b/>
          <w:bCs/>
        </w:rPr>
        <w:t xml:space="preserve">有限充电桩</w:t>
      </w:r>
      <w:r>
        <w:rPr>
          <w:rFonts w:hint="eastAsia"/>
        </w:rPr>
        <w:t xml:space="preserve">：加入物理充电桩数量和充电桩队列。</w:t>
      </w:r>
    </w:p>
    <w:p>
      <w:pPr>
        <w:pStyle w:val="FirstParagraph"/>
      </w:pPr>
      <w:r>
        <w:t xml:space="preserve">F4 </w:t>
      </w:r>
      <w:r>
        <w:rPr>
          <w:rFonts w:hint="eastAsia"/>
        </w:rPr>
        <w:t xml:space="preserve">是冻结的机制参照，不是真值或经过验证的数字孪生。</w:t>
      </w:r>
    </w:p>
    <w:bookmarkEnd w:id="25"/>
    <w:bookmarkStart w:id="26" w:name="预先注册的充分性判据"/>
    <w:p>
      <w:pPr>
        <w:pStyle w:val="Heading3"/>
      </w:pPr>
      <w:r>
        <w:t xml:space="preserve">4.3 </w:t>
      </w:r>
      <w:r>
        <w:rPr>
          <w:rFonts w:hint="eastAsia"/>
        </w:rPr>
        <w:t xml:space="preserve">预先注册的充分性判据</w:t>
      </w:r>
    </w:p>
    <w:p>
      <w:pPr>
        <w:pStyle w:val="FirstParagraph"/>
      </w:pPr>
      <w:r>
        <w:rPr>
          <w:rFonts w:hint="eastAsia"/>
        </w:rPr>
        <w:t xml:space="preserve">能量规划充分性要求在每个锚点下，总电网电量绝对相对误差的</w:t>
      </w:r>
      <w:r>
        <w:t xml:space="preserve"> 95% </w:t>
      </w:r>
      <w:r>
        <w:rPr>
          <w:rFonts w:hint="eastAsia"/>
        </w:rPr>
        <w:t xml:space="preserve">置信区间上端不超过</w:t>
      </w:r>
      <w:r>
        <w:t xml:space="preserve"> </w:t>
      </w:r>
      <w:r>
        <w:rPr>
          <w:rFonts w:hint="eastAsia"/>
        </w:rPr>
        <w:t xml:space="preserve">5%，节点电量份额</w:t>
      </w:r>
      <w:r>
        <w:t xml:space="preserve"> L1 </w:t>
      </w:r>
      <w:r>
        <w:rPr>
          <w:rFonts w:hint="eastAsia"/>
        </w:rPr>
        <w:t xml:space="preserve">距离不超过</w:t>
      </w:r>
      <w:r>
        <w:t xml:space="preserve"> </w:t>
      </w:r>
      <w:r>
        <w:rPr>
          <w:rFonts w:hint="eastAsia"/>
        </w:rPr>
        <w:t xml:space="preserve">0.10。功率轨迹充分性额外要求归一化曲线</w:t>
      </w:r>
      <w:r>
        <w:t xml:space="preserve"> </w:t>
      </w:r>
      <w:r>
        <w:rPr>
          <w:rFonts w:hint="eastAsia"/>
        </w:rPr>
        <w:t xml:space="preserve">L2、负荷持续曲线</w:t>
      </w:r>
      <w:r>
        <w:t xml:space="preserve"> </w:t>
      </w:r>
      <w:r>
        <w:rPr>
          <w:rFonts w:hint="eastAsia"/>
        </w:rPr>
        <w:t xml:space="preserve">L2、逐次峰值、P95</w:t>
      </w:r>
      <w:r>
        <w:t xml:space="preserve"> </w:t>
      </w:r>
      <w:r>
        <w:rPr>
          <w:rFonts w:hint="eastAsia"/>
        </w:rPr>
        <w:t xml:space="preserve">和</w:t>
      </w:r>
      <w:r>
        <w:t xml:space="preserve"> P99 </w:t>
      </w:r>
      <w:r>
        <w:rPr>
          <w:rFonts w:hint="eastAsia"/>
        </w:rPr>
        <w:t xml:space="preserve">的误差置信区间上端均不超过</w:t>
      </w:r>
      <w:r>
        <w:t xml:space="preserve"> 10%。</w:t>
      </w:r>
    </w:p>
    <w:p>
      <w:pPr>
        <w:pStyle w:val="BodyText"/>
      </w:pPr>
      <w:r>
        <w:rPr>
          <w:rFonts w:hint="eastAsia"/>
        </w:rPr>
        <w:t xml:space="preserve">对表征</w:t>
      </w:r>
      <w:r>
        <w:t xml:space="preserve"> </w:t>
      </w:r>
      <m:oMath>
        <m:r>
          <m:t>F</m:t>
        </m:r>
        <m:r>
          <m:rPr>
            <m:sty m:val="p"/>
          </m:rPr>
          <m:t>∈</m:t>
        </m:r>
        <m:r>
          <m:rPr>
            <m:sty m:val="p"/>
          </m:rPr>
          <m:t>{</m:t>
        </m:r>
        <m:r>
          <m:t>F</m:t>
        </m:r>
        <m:r>
          <m:t>0</m:t>
        </m:r>
        <m:r>
          <m:rPr>
            <m:sty m:val="p"/>
          </m:rPr>
          <m:t>,</m:t>
        </m:r>
        <m:r>
          <m:t>F</m:t>
        </m:r>
        <m:r>
          <m:t>1</m:t>
        </m:r>
        <m:r>
          <m:rPr>
            <m:sty m:val="p"/>
          </m:rPr>
          <m:t>,</m:t>
        </m:r>
        <m:r>
          <m:t>F</m:t>
        </m:r>
        <m:r>
          <m:t>2</m:t>
        </m:r>
        <m:r>
          <m:rPr>
            <m:sty m:val="p"/>
          </m:rPr>
          <m:t>,</m:t>
        </m:r>
        <m:r>
          <m:t>F</m:t>
        </m:r>
        <m:r>
          <m:t>3</m:t>
        </m:r>
        <m:r>
          <m:rPr>
            <m:sty m:val="p"/>
          </m:rPr>
          <m:t>}</m:t>
        </m:r>
      </m:oMath>
      <w:r>
        <w:t xml:space="preserve"> </w:t>
      </w:r>
      <w:r>
        <w:rPr>
          <w:rFonts w:hint="eastAsia"/>
        </w:rPr>
        <w:t xml:space="preserve">和锚点</w:t>
      </w:r>
      <w:r>
        <w:t xml:space="preserve"> </w:t>
      </w:r>
      <m:oMath>
        <m:r>
          <m:t>m</m:t>
        </m:r>
      </m:oMath>
      <w:r>
        <w:t xml:space="preserve"> </w:t>
      </w:r>
      <w:r>
        <w:rPr>
          <w:rFonts w:hint="eastAsia"/>
        </w:rPr>
        <w:t xml:space="preserve">中的种子</w:t>
      </w:r>
      <w:r>
        <w:t xml:space="preserve"> </w:t>
      </w:r>
      <m:oMath>
        <m:r>
          <m:t>s</m:t>
        </m:r>
      </m:oMath>
      <w:r>
        <w:rPr>
          <w:rFonts w:hint="eastAsia"/>
        </w:rPr>
        <w:t xml:space="preserve">，能量误差为</w:t>
      </w:r>
    </w:p>
    <w:p>
      <w:pPr>
        <w:pStyle w:val="BodyText"/>
      </w:pPr>
      <m:oMathPara>
        <m:oMathParaPr>
          <m:jc m:val="center"/>
        </m:oMathParaPr>
        <m:oMath>
          <m:sSubSup>
            <m:e>
              <m:r>
                <m:t>e</m:t>
              </m:r>
            </m:e>
            <m:sub>
              <m:r>
                <m:t>E</m:t>
              </m:r>
              <m:r>
                <m:rPr>
                  <m:sty m:val="p"/>
                </m:rPr>
                <m:t>,</m:t>
              </m:r>
              <m:r>
                <m:t>F</m:t>
              </m:r>
            </m:sub>
            <m:sup>
              <m:r>
                <m:rPr>
                  <m:sty m:val="p"/>
                </m:rPr>
                <m:t>(</m:t>
              </m:r>
              <m:r>
                <m:t>m</m:t>
              </m:r>
              <m:r>
                <m:rPr>
                  <m:sty m:val="p"/>
                </m:rPr>
                <m:t>,</m:t>
              </m:r>
              <m:r>
                <m:t>s</m:t>
              </m:r>
              <m:r>
                <m:rPr>
                  <m:sty m:val="p"/>
                </m:rPr>
                <m:t>)</m:t>
              </m:r>
            </m:sup>
          </m:sSubSup>
          <m:r>
            <m:rPr>
              <m:sty m:val="p"/>
            </m:rPr>
            <m:t>=</m:t>
          </m:r>
          <m:f>
            <m:fPr>
              <m:type m:val="bar"/>
            </m:fPr>
            <m:num>
              <m:d>
                <m:dPr>
                  <m:begChr m:val="|"/>
                  <m:sepChr m:val=""/>
                  <m:endChr m:val="|"/>
                  <m:grow/>
                </m:dPr>
                <m:e>
                  <m:sSubSup>
                    <m:e>
                      <m:r>
                        <m:t>E</m:t>
                      </m:r>
                    </m:e>
                    <m:sub>
                      <m:r>
                        <m:t>F</m:t>
                      </m:r>
                    </m:sub>
                    <m:sup>
                      <m:r>
                        <m:rPr>
                          <m:sty m:val="p"/>
                        </m:rPr>
                        <m:t>(</m:t>
                      </m:r>
                      <m:r>
                        <m:t>m</m:t>
                      </m:r>
                      <m:r>
                        <m:rPr>
                          <m:sty m:val="p"/>
                        </m:rPr>
                        <m:t>,</m:t>
                      </m:r>
                      <m:r>
                        <m:t>s</m:t>
                      </m:r>
                      <m:r>
                        <m:rPr>
                          <m:sty m:val="p"/>
                        </m:rPr>
                        <m:t>)</m:t>
                      </m:r>
                    </m:sup>
                  </m:sSubSup>
                  <m:r>
                    <m:rPr>
                      <m:sty m:val="p"/>
                    </m:rPr>
                    <m:t>−</m:t>
                  </m:r>
                  <m:sSubSup>
                    <m:e>
                      <m:r>
                        <m:t>E</m:t>
                      </m:r>
                    </m:e>
                    <m:sub>
                      <m:r>
                        <m:t>F</m:t>
                      </m:r>
                      <m:r>
                        <m:t>4</m:t>
                      </m:r>
                    </m:sub>
                    <m:sup>
                      <m:r>
                        <m:rPr>
                          <m:sty m:val="p"/>
                        </m:rPr>
                        <m:t>(</m:t>
                      </m:r>
                      <m:r>
                        <m:t>m</m:t>
                      </m:r>
                      <m:r>
                        <m:rPr>
                          <m:sty m:val="p"/>
                        </m:rPr>
                        <m:t>,</m:t>
                      </m:r>
                      <m:r>
                        <m:t>s</m:t>
                      </m:r>
                      <m:r>
                        <m:rPr>
                          <m:sty m:val="p"/>
                        </m:rPr>
                        <m:t>)</m:t>
                      </m:r>
                    </m:sup>
                  </m:sSubSup>
                </m:e>
              </m:d>
            </m:num>
            <m:den>
              <m:sSubSup>
                <m:e>
                  <m:r>
                    <m:t>E</m:t>
                  </m:r>
                </m:e>
                <m:sub>
                  <m:r>
                    <m:t>F</m:t>
                  </m:r>
                  <m:r>
                    <m:t>4</m:t>
                  </m:r>
                </m:sub>
                <m:sup>
                  <m:r>
                    <m:rPr>
                      <m:sty m:val="p"/>
                    </m:rPr>
                    <m:t>(</m:t>
                  </m:r>
                  <m:r>
                    <m:t>m</m:t>
                  </m:r>
                  <m:r>
                    <m:rPr>
                      <m:sty m:val="p"/>
                    </m:rPr>
                    <m:t>,</m:t>
                  </m:r>
                  <m:r>
                    <m:t>s</m:t>
                  </m:r>
                  <m:r>
                    <m:rPr>
                      <m:sty m:val="p"/>
                    </m:rPr>
                    <m:t>)</m:t>
                  </m:r>
                </m:sup>
              </m:sSubSup>
            </m:den>
          </m:f>
          <m:r>
            <m:rPr>
              <m:sty m:val="p"/>
            </m:rPr>
            <m:t>,</m:t>
          </m:r>
        </m:oMath>
      </m:oMathPara>
    </w:p>
    <w:p>
      <w:pPr>
        <w:pStyle w:val="FirstParagraph"/>
      </w:pPr>
      <w:r>
        <w:rPr>
          <w:rFonts w:hint="eastAsia"/>
        </w:rPr>
        <w:t xml:space="preserve">节点电量份额</w:t>
      </w:r>
      <w:r>
        <w:t xml:space="preserve"> L1 </w:t>
      </w:r>
      <w:r>
        <w:rPr>
          <w:rFonts w:hint="eastAsia"/>
        </w:rPr>
        <w:t xml:space="preserve">距离为</w:t>
      </w:r>
    </w:p>
    <w:p>
      <w:pPr>
        <w:pStyle w:val="BodyText"/>
      </w:pPr>
      <m:oMathPara>
        <m:oMathParaPr>
          <m:jc m:val="center"/>
        </m:oMathParaPr>
        <m:oMath>
          <m:sSubSup>
            <m:e>
              <m:r>
                <m:t>e</m:t>
              </m:r>
            </m:e>
            <m:sub>
              <m:r>
                <m:t>q</m:t>
              </m:r>
              <m:r>
                <m:rPr>
                  <m:sty m:val="p"/>
                </m:rPr>
                <m:t>,</m:t>
              </m:r>
              <m:r>
                <m:t>F</m:t>
              </m:r>
            </m:sub>
            <m:sup>
              <m:r>
                <m:rPr>
                  <m:sty m:val="p"/>
                </m:rPr>
                <m:t>(</m:t>
              </m:r>
              <m:r>
                <m:t>m</m:t>
              </m:r>
              <m:r>
                <m:rPr>
                  <m:sty m:val="p"/>
                </m:rPr>
                <m:t>,</m:t>
              </m:r>
              <m:r>
                <m:t>s</m:t>
              </m:r>
              <m:r>
                <m:rPr>
                  <m:sty m:val="p"/>
                </m:rPr>
                <m:t>)</m:t>
              </m:r>
            </m:sup>
          </m:sSubSup>
          <m:r>
            <m:rPr>
              <m:sty m:val="p"/>
            </m:rPr>
            <m:t>=</m:t>
          </m:r>
          <m:nary>
            <m:naryPr>
              <m:chr m:val="∑"/>
              <m:limLoc m:val="undOvr"/>
              <m:subHide m:val="off"/>
              <m:supHide m:val="on"/>
            </m:naryPr>
            <m:sub>
              <m:r>
                <m:t>v</m:t>
              </m:r>
            </m:sub>
            <m:sup>
              <m:r>
                <m:t>​</m:t>
              </m:r>
            </m:sup>
            <m:e>
              <m:d>
                <m:dPr>
                  <m:begChr m:val="|"/>
                  <m:sepChr m:val=""/>
                  <m:endChr m:val="|"/>
                  <m:grow/>
                </m:dPr>
                <m:e>
                  <m:sSubSup>
                    <m:e>
                      <m:r>
                        <m:t>q</m:t>
                      </m:r>
                    </m:e>
                    <m:sub>
                      <m:r>
                        <m:t>F</m:t>
                      </m:r>
                      <m:r>
                        <m:rPr>
                          <m:sty m:val="p"/>
                        </m:rPr>
                        <m:t>,</m:t>
                      </m:r>
                      <m:r>
                        <m:t>v</m:t>
                      </m:r>
                    </m:sub>
                    <m:sup>
                      <m:r>
                        <m:rPr>
                          <m:sty m:val="p"/>
                        </m:rPr>
                        <m:t>(</m:t>
                      </m:r>
                      <m:r>
                        <m:t>m</m:t>
                      </m:r>
                      <m:r>
                        <m:rPr>
                          <m:sty m:val="p"/>
                        </m:rPr>
                        <m:t>,</m:t>
                      </m:r>
                      <m:r>
                        <m:t>s</m:t>
                      </m:r>
                      <m:r>
                        <m:rPr>
                          <m:sty m:val="p"/>
                        </m:rPr>
                        <m:t>)</m:t>
                      </m:r>
                    </m:sup>
                  </m:sSubSup>
                  <m:r>
                    <m:rPr>
                      <m:sty m:val="p"/>
                    </m:rPr>
                    <m:t>−</m:t>
                  </m:r>
                  <m:sSubSup>
                    <m:e>
                      <m:r>
                        <m:t>q</m:t>
                      </m:r>
                    </m:e>
                    <m:sub>
                      <m:r>
                        <m:t>F</m:t>
                      </m:r>
                      <m:r>
                        <m:t>4</m:t>
                      </m:r>
                      <m:r>
                        <m:rPr>
                          <m:sty m:val="p"/>
                        </m:rPr>
                        <m:t>,</m:t>
                      </m:r>
                      <m:r>
                        <m:t>v</m:t>
                      </m:r>
                    </m:sub>
                    <m:sup>
                      <m:r>
                        <m:rPr>
                          <m:sty m:val="p"/>
                        </m:rPr>
                        <m:t>(</m:t>
                      </m:r>
                      <m:r>
                        <m:t>m</m:t>
                      </m:r>
                      <m:r>
                        <m:rPr>
                          <m:sty m:val="p"/>
                        </m:rPr>
                        <m:t>,</m:t>
                      </m:r>
                      <m:r>
                        <m:t>s</m:t>
                      </m:r>
                      <m:r>
                        <m:rPr>
                          <m:sty m:val="p"/>
                        </m:rPr>
                        <m:t>)</m:t>
                      </m:r>
                    </m:sup>
                  </m:sSubSup>
                </m:e>
              </m:d>
            </m:e>
          </m:nary>
          <m:r>
            <m:rPr>
              <m:sty m:val="p"/>
            </m:rPr>
            <m:t>.</m:t>
          </m:r>
        </m:oMath>
      </m:oMathPara>
    </w:p>
    <w:p>
      <w:pPr>
        <w:pStyle w:val="FirstParagraph"/>
      </w:pPr>
      <w:r>
        <w:rPr>
          <w:rFonts w:hint="eastAsia"/>
        </w:rPr>
        <w:t xml:space="preserve">功率曲线误差为</w:t>
      </w:r>
    </w:p>
    <w:p>
      <w:pPr>
        <w:pStyle w:val="BodyText"/>
      </w:pPr>
      <m:oMathPara>
        <m:oMathParaPr>
          <m:jc m:val="center"/>
        </m:oMathParaPr>
        <m:oMath>
          <m:sSubSup>
            <m:e>
              <m:r>
                <m:t>e</m:t>
              </m:r>
            </m:e>
            <m:sub>
              <m:r>
                <m:t>P</m:t>
              </m:r>
              <m:r>
                <m:rPr>
                  <m:sty m:val="p"/>
                </m:rPr>
                <m:t>,</m:t>
              </m:r>
              <m:r>
                <m:t>F</m:t>
              </m:r>
            </m:sub>
            <m:sup>
              <m:r>
                <m:rPr>
                  <m:sty m:val="p"/>
                </m:rPr>
                <m:t>(</m:t>
              </m:r>
              <m:r>
                <m:t>m</m:t>
              </m:r>
              <m:r>
                <m:rPr>
                  <m:sty m:val="p"/>
                </m:rPr>
                <m:t>,</m:t>
              </m:r>
              <m:r>
                <m:t>s</m:t>
              </m:r>
              <m:r>
                <m:rPr>
                  <m:sty m:val="p"/>
                </m:rPr>
                <m:t>)</m:t>
              </m:r>
            </m:sup>
          </m:sSubSup>
          <m:r>
            <m:rPr>
              <m:sty m:val="p"/>
            </m:rPr>
            <m:t>=</m:t>
          </m:r>
          <m:f>
            <m:fPr>
              <m:type m:val="bar"/>
            </m:fPr>
            <m:num>
              <m:sSub>
                <m:e>
                  <m:d>
                    <m:dPr>
                      <m:begChr m:val="∥"/>
                      <m:sepChr m:val=""/>
                      <m:endChr m:val="∥"/>
                      <m:grow/>
                    </m:dPr>
                    <m:e>
                      <m:sSubSup>
                        <m:e>
                          <m:r>
                            <m:rPr>
                              <m:sty m:val="bi"/>
                            </m:rPr>
                            <m:t>P</m:t>
                          </m:r>
                        </m:e>
                        <m:sub>
                          <m:r>
                            <m:t>F</m:t>
                          </m:r>
                        </m:sub>
                        <m:sup>
                          <m:r>
                            <m:rPr>
                              <m:sty m:val="p"/>
                            </m:rPr>
                            <m:t>(</m:t>
                          </m:r>
                          <m:r>
                            <m:t>m</m:t>
                          </m:r>
                          <m:r>
                            <m:rPr>
                              <m:sty m:val="p"/>
                            </m:rPr>
                            <m:t>,</m:t>
                          </m:r>
                          <m:r>
                            <m:t>s</m:t>
                          </m:r>
                          <m:r>
                            <m:rPr>
                              <m:sty m:val="p"/>
                            </m:rPr>
                            <m:t>)</m:t>
                          </m:r>
                        </m:sup>
                      </m:sSubSup>
                      <m:r>
                        <m:rPr>
                          <m:sty m:val="p"/>
                        </m:rPr>
                        <m:t>−</m:t>
                      </m:r>
                      <m:sSubSup>
                        <m:e>
                          <m:r>
                            <m:rPr>
                              <m:sty m:val="bi"/>
                            </m:rPr>
                            <m:t>P</m:t>
                          </m:r>
                        </m:e>
                        <m:sub>
                          <m:r>
                            <m:t>F</m:t>
                          </m:r>
                          <m:r>
                            <m:t>4</m:t>
                          </m:r>
                        </m:sub>
                        <m:sup>
                          <m:r>
                            <m:rPr>
                              <m:sty m:val="p"/>
                            </m:rPr>
                            <m:t>(</m:t>
                          </m:r>
                          <m:r>
                            <m:t>m</m:t>
                          </m:r>
                          <m:r>
                            <m:rPr>
                              <m:sty m:val="p"/>
                            </m:rPr>
                            <m:t>,</m:t>
                          </m:r>
                          <m:r>
                            <m:t>s</m:t>
                          </m:r>
                          <m:r>
                            <m:rPr>
                              <m:sty m:val="p"/>
                            </m:rPr>
                            <m:t>)</m:t>
                          </m:r>
                        </m:sup>
                      </m:sSubSup>
                    </m:e>
                  </m:d>
                </m:e>
                <m:sub>
                  <m:r>
                    <m:t>2</m:t>
                  </m:r>
                </m:sub>
              </m:sSub>
            </m:num>
            <m:den>
              <m:sSub>
                <m:e>
                  <m:d>
                    <m:dPr>
                      <m:begChr m:val="∥"/>
                      <m:sepChr m:val=""/>
                      <m:endChr m:val="∥"/>
                      <m:grow/>
                    </m:dPr>
                    <m:e>
                      <m:sSubSup>
                        <m:e>
                          <m:r>
                            <m:rPr>
                              <m:sty m:val="bi"/>
                            </m:rPr>
                            <m:t>P</m:t>
                          </m:r>
                        </m:e>
                        <m:sub>
                          <m:r>
                            <m:t>F</m:t>
                          </m:r>
                          <m:r>
                            <m:t>4</m:t>
                          </m:r>
                        </m:sub>
                        <m:sup>
                          <m:r>
                            <m:rPr>
                              <m:sty m:val="p"/>
                            </m:rPr>
                            <m:t>(</m:t>
                          </m:r>
                          <m:r>
                            <m:t>m</m:t>
                          </m:r>
                          <m:r>
                            <m:rPr>
                              <m:sty m:val="p"/>
                            </m:rPr>
                            <m:t>,</m:t>
                          </m:r>
                          <m:r>
                            <m:t>s</m:t>
                          </m:r>
                          <m:r>
                            <m:rPr>
                              <m:sty m:val="p"/>
                            </m:rPr>
                            <m:t>)</m:t>
                          </m:r>
                        </m:sup>
                      </m:sSubSup>
                    </m:e>
                  </m:d>
                </m:e>
                <m:sub>
                  <m:r>
                    <m:t>2</m:t>
                  </m:r>
                </m:sub>
              </m:sSub>
            </m:den>
          </m:f>
          <m:r>
            <m:rPr>
              <m:sty m:val="p"/>
            </m:rPr>
            <m:t>.</m:t>
          </m:r>
        </m:oMath>
      </m:oMathPara>
    </w:p>
    <w:p>
      <w:pPr>
        <w:pStyle w:val="FirstParagraph"/>
      </w:pPr>
      <w:r>
        <w:rPr>
          <w:rFonts w:hint="eastAsia"/>
        </w:rPr>
        <w:t xml:space="preserve">将配对</w:t>
      </w:r>
      <w:r>
        <w:t xml:space="preserve"> 95% </w:t>
      </w:r>
      <w:r>
        <w:rPr>
          <w:rFonts w:hint="eastAsia"/>
        </w:rPr>
        <w:t xml:space="preserve">置信区间上端与冻结阈值比较。只有四个锚点全部通过，才能判定该层对相应输出充分；最低通过层即为该输出类别的最低充分表征。</w:t>
      </w:r>
    </w:p>
    <w:bookmarkEnd w:id="26"/>
    <w:bookmarkStart w:id="27" w:name="实现与验证"/>
    <w:p>
      <w:pPr>
        <w:pStyle w:val="Heading3"/>
      </w:pPr>
      <w:r>
        <w:t xml:space="preserve">4.4 </w:t>
      </w:r>
      <w:r>
        <w:rPr>
          <w:rFonts w:hint="eastAsia"/>
        </w:rPr>
        <w:t xml:space="preserve">实现与验证</w:t>
      </w:r>
    </w:p>
    <w:p>
      <w:pPr>
        <w:pStyle w:val="FirstParagraph"/>
      </w:pPr>
      <w:r>
        <w:rPr>
          <w:rFonts w:hint="eastAsia"/>
        </w:rPr>
        <w:t xml:space="preserve">正式实验使用独立于筛查样本的</w:t>
      </w:r>
      <w:r>
        <w:t xml:space="preserve"> 30 </w:t>
      </w:r>
      <w:r>
        <w:rPr>
          <w:rFonts w:hint="eastAsia"/>
        </w:rPr>
        <w:t xml:space="preserve">个共同随机种子。全部</w:t>
      </w:r>
      <w:r>
        <w:t xml:space="preserve"> 300 </w:t>
      </w:r>
      <w:r>
        <w:rPr>
          <w:rFonts w:hint="eastAsia"/>
        </w:rPr>
        <w:t xml:space="preserve">次完整模型运行和</w:t>
      </w:r>
      <w:r>
        <w:t xml:space="preserve"> 600 </w:t>
      </w:r>
      <w:r>
        <w:rPr>
          <w:rFonts w:hint="eastAsia"/>
        </w:rPr>
        <w:t xml:space="preserve">条保真度记录均闭合并通过守恒检查。F3</w:t>
      </w:r>
      <w:r>
        <w:t xml:space="preserve"> </w:t>
      </w:r>
      <w:r>
        <w:rPr>
          <w:rFonts w:hint="eastAsia"/>
        </w:rPr>
        <w:t xml:space="preserve">运行因构造无充电等待，F4</w:t>
      </w:r>
      <w:r>
        <w:t xml:space="preserve"> </w:t>
      </w:r>
      <w:r>
        <w:rPr>
          <w:rFonts w:hint="eastAsia"/>
        </w:rPr>
        <w:t xml:space="preserve">在重放种子上以零误差复现既有正式标量结果。</w:t>
      </w:r>
    </w:p>
    <w:bookmarkEnd w:id="27"/>
    <w:bookmarkEnd w:id="28"/>
    <w:bookmarkStart w:id="37" w:name="结果"/>
    <w:p>
      <w:pPr>
        <w:pStyle w:val="Heading2"/>
      </w:pPr>
      <w:r>
        <w:t xml:space="preserve">5. </w:t>
      </w:r>
      <w:r>
        <w:rPr>
          <w:rFonts w:hint="eastAsia"/>
        </w:rPr>
        <w:t xml:space="preserve">结果</w:t>
      </w:r>
    </w:p>
    <w:bookmarkStart w:id="29" w:name="情景机制"/>
    <w:p>
      <w:pPr>
        <w:pStyle w:val="Heading3"/>
      </w:pPr>
      <w:r>
        <w:t xml:space="preserve">5.1 </w:t>
      </w:r>
      <w:r>
        <w:rPr>
          <w:rFonts w:hint="eastAsia"/>
        </w:rPr>
        <w:t xml:space="preserve">情景机制</w:t>
      </w:r>
    </w:p>
    <w:p>
      <w:pPr>
        <w:pStyle w:val="FirstParagraph"/>
      </w:pPr>
      <w:r>
        <w:t xml:space="preserve">10 </w:t>
      </w:r>
      <w:r>
        <w:rPr>
          <w:rFonts w:hint="eastAsia"/>
        </w:rPr>
        <w:t xml:space="preserve">情景实验识别了塑造内生负荷的机制。相对基准，低需求使实际电网电量下降</w:t>
      </w:r>
      <w:r>
        <w:t xml:space="preserve"> </w:t>
      </w:r>
      <w:r>
        <w:rPr>
          <w:rFonts w:hint="eastAsia"/>
        </w:rPr>
        <w:t xml:space="preserve">19.9%，高需求使其上升</w:t>
      </w:r>
      <w:r>
        <w:t xml:space="preserve"> </w:t>
      </w:r>
      <w:r>
        <w:rPr>
          <w:rFonts w:hint="eastAsia"/>
        </w:rPr>
        <w:t xml:space="preserve">18.0%；高需求同时使平均等待上升</w:t>
      </w:r>
      <w:r>
        <w:t xml:space="preserve"> </w:t>
      </w:r>
      <w:r>
        <w:rPr>
          <w:rFonts w:hint="eastAsia"/>
        </w:rPr>
        <w:t xml:space="preserve">22.7%，最大队列上升</w:t>
      </w:r>
      <w:r>
        <w:t xml:space="preserve"> </w:t>
      </w:r>
      <w:r>
        <w:rPr>
          <w:rFonts w:hint="eastAsia"/>
        </w:rPr>
        <w:t xml:space="preserve">41.3%。因此，充电负荷并不随乘客人数线性变化。</w:t>
      </w:r>
    </w:p>
    <w:p>
      <w:pPr>
        <w:pStyle w:val="BodyText"/>
      </w:pPr>
      <w:r>
        <w:rPr>
          <w:rFonts w:hint="eastAsia"/>
        </w:rPr>
        <w:t xml:space="preserve">长距离集中相对短距离集中使电网电量上升</w:t>
      </w:r>
      <w:r>
        <w:t xml:space="preserve"> </w:t>
      </w:r>
      <w:r>
        <w:rPr>
          <w:rFonts w:hint="eastAsia"/>
        </w:rPr>
        <w:t xml:space="preserve">4.8%、飞行能量上升</w:t>
      </w:r>
      <w:r>
        <w:t xml:space="preserve"> </w:t>
      </w:r>
      <w:r>
        <w:rPr>
          <w:rFonts w:hint="eastAsia"/>
        </w:rPr>
        <w:t xml:space="preserve">3.9%，而载客航班数基本不变。低能量边界情景的能量效应最大，使实际电网电量下降</w:t>
      </w:r>
      <w:r>
        <w:t xml:space="preserve"> </w:t>
      </w:r>
      <w:r>
        <w:rPr>
          <w:rFonts w:hint="eastAsia"/>
        </w:rPr>
        <w:t xml:space="preserve">46.9%、飞行能量下降</w:t>
      </w:r>
      <w:r>
        <w:t xml:space="preserve"> </w:t>
      </w:r>
      <w:r>
        <w:rPr>
          <w:rFonts w:hint="eastAsia"/>
        </w:rPr>
        <w:t xml:space="preserve">38.4%，说明绝对能量预测仍高度依赖航空器性能假设。</w:t>
      </w:r>
    </w:p>
    <w:p>
      <w:pPr>
        <w:pStyle w:val="BodyText"/>
      </w:pPr>
      <w:r>
        <w:rPr>
          <w:rFonts w:hint="eastAsia"/>
        </w:rPr>
        <w:t xml:space="preserve">充电资源约束主要重塑时序，而不是改变总任务能量。紧充电使正式窗口逐次峰值点估计相对基准下降</w:t>
      </w:r>
      <w:r>
        <w:t xml:space="preserve"> </w:t>
      </w:r>
      <w:r>
        <w:rPr>
          <w:rFonts w:hint="eastAsia"/>
        </w:rPr>
        <w:t xml:space="preserve">13.5%，但电网电量仅变化</w:t>
      </w:r>
      <w:r>
        <w:t xml:space="preserve"> </w:t>
      </w:r>
      <w:r>
        <w:rPr>
          <w:rFonts w:hint="eastAsia"/>
        </w:rPr>
        <w:t xml:space="preserve">0.1%，飞行能量仅变化</w:t>
      </w:r>
      <w:r>
        <w:t xml:space="preserve"> </w:t>
      </w:r>
      <w:r>
        <w:rPr>
          <w:rFonts w:hint="eastAsia"/>
        </w:rPr>
        <w:t xml:space="preserve">0.4%。高需求紧充电相对高需求使峰值点估计下降</w:t>
      </w:r>
      <w:r>
        <w:t xml:space="preserve"> </w:t>
      </w:r>
      <w:r>
        <w:rPr>
          <w:rFonts w:hint="eastAsia"/>
        </w:rPr>
        <w:t xml:space="preserve">21.2%；长距离紧充电相对长距离使峰值点估计下降</w:t>
      </w:r>
      <w:r>
        <w:t xml:space="preserve"> </w:t>
      </w:r>
      <w:r>
        <w:rPr>
          <w:rFonts w:hint="eastAsia"/>
        </w:rPr>
        <w:t xml:space="preserve">17.8%。点估计表明存在物理并发上限后的时间转移，但相应差分中的差分区间尚不足以声称稳定的非线性交互。</w:t>
      </w:r>
    </w:p>
    <w:bookmarkEnd w:id="29"/>
    <w:bookmarkStart w:id="30" w:name="峰值暴露与不同时性"/>
    <w:p>
      <w:pPr>
        <w:pStyle w:val="Heading3"/>
      </w:pPr>
      <w:r>
        <w:t xml:space="preserve">5.2 </w:t>
      </w:r>
      <w:r>
        <w:rPr>
          <w:rFonts w:hint="eastAsia"/>
        </w:rPr>
        <w:t xml:space="preserve">峰值暴露与不同时性</w:t>
      </w:r>
    </w:p>
    <w:p>
      <w:pPr>
        <w:pStyle w:val="FirstParagraph"/>
      </w:pPr>
      <w:r>
        <w:rPr>
          <w:rFonts w:hint="eastAsia"/>
        </w:rPr>
        <w:t xml:space="preserve">逐次运行峰值与平均负荷曲线峰值是不同对象。10</w:t>
      </w:r>
      <w:r>
        <w:t xml:space="preserve"> </w:t>
      </w:r>
      <w:r>
        <w:rPr>
          <w:rFonts w:hint="eastAsia"/>
        </w:rPr>
        <w:t xml:space="preserve">个情景中，逐次峰值均值与平均曲线峰值之差为</w:t>
      </w:r>
      <w:r>
        <w:t xml:space="preserve"> 340–641 </w:t>
      </w:r>
      <w:r>
        <w:rPr>
          <w:rFonts w:hint="eastAsia"/>
        </w:rPr>
        <w:t xml:space="preserve">kW。先对轨迹取平均再取最大值，会显著低估容量暴露。紧充电情景</w:t>
      </w:r>
      <w:r>
        <w:t xml:space="preserve"> M7、M9、M10 </w:t>
      </w:r>
      <w:r>
        <w:rPr>
          <w:rFonts w:hint="eastAsia"/>
        </w:rPr>
        <w:t xml:space="preserve">的机场满桩概率分别为</w:t>
      </w:r>
      <w:r>
        <w:t xml:space="preserve"> </w:t>
      </w:r>
      <w:r>
        <w:rPr>
          <w:rFonts w:hint="eastAsia"/>
        </w:rPr>
        <w:t xml:space="preserve">29.56%、39.86%、32.94%，基准机场满桩概率为</w:t>
      </w:r>
      <w:r>
        <w:t xml:space="preserve"> </w:t>
      </w:r>
      <w:r>
        <w:rPr>
          <w:rFonts w:hint="eastAsia"/>
        </w:rPr>
        <w:t xml:space="preserve">0。这些情景下网络</w:t>
      </w:r>
      <w:r>
        <w:t xml:space="preserve"> P95 </w:t>
      </w:r>
      <w:r>
        <w:rPr>
          <w:rFonts w:hint="eastAsia"/>
        </w:rPr>
        <w:t xml:space="preserve">和</w:t>
      </w:r>
      <w:r>
        <w:t xml:space="preserve"> P99 </w:t>
      </w:r>
      <w:r>
        <w:rPr>
          <w:rFonts w:hint="eastAsia"/>
        </w:rPr>
        <w:t xml:space="preserve">均为</w:t>
      </w:r>
      <w:r>
        <w:t xml:space="preserve"> 1050 </w:t>
      </w:r>
      <w:r>
        <w:rPr>
          <w:rFonts w:hint="eastAsia"/>
        </w:rPr>
        <w:t xml:space="preserve">kW，与持续充电桩占满和功率截顶一致，而不是飞行工作量下降。</w:t>
      </w:r>
    </w:p>
    <w:bookmarkEnd w:id="30"/>
    <w:bookmarkStart w:id="31" w:name="能量规划保真度"/>
    <w:p>
      <w:pPr>
        <w:pStyle w:val="Heading3"/>
      </w:pPr>
      <w:r>
        <w:t xml:space="preserve">5.3 </w:t>
      </w:r>
      <w:r>
        <w:rPr>
          <w:rFonts w:hint="eastAsia"/>
        </w:rPr>
        <w:t xml:space="preserve">能量规划保真度</w:t>
      </w:r>
    </w:p>
    <w:p>
      <w:pPr>
        <w:pStyle w:val="FirstParagraph"/>
      </w:pPr>
      <w:r>
        <w:rPr>
          <w:rFonts w:hint="eastAsia"/>
        </w:rPr>
        <w:t xml:space="preserve">表</w:t>
      </w:r>
      <w:r>
        <w:t xml:space="preserve"> 2 </w:t>
      </w:r>
      <w:r>
        <w:rPr>
          <w:rFonts w:hint="eastAsia"/>
        </w:rPr>
        <w:t xml:space="preserve">报告</w:t>
      </w:r>
      <w:r>
        <w:t xml:space="preserve"> F3 </w:t>
      </w:r>
      <w:r>
        <w:rPr>
          <w:rFonts w:hint="eastAsia"/>
        </w:rPr>
        <w:t xml:space="preserve">层的冻结能量判据。F3</w:t>
      </w:r>
      <w:r>
        <w:t xml:space="preserve"> </w:t>
      </w:r>
      <w:r>
        <w:rPr>
          <w:rFonts w:hint="eastAsia"/>
        </w:rPr>
        <w:t xml:space="preserve">在四个锚点均通过两项判据。最紧边界是</w:t>
      </w:r>
      <w:r>
        <w:t xml:space="preserve"> </w:t>
      </w:r>
      <w:r>
        <w:rPr>
          <w:rFonts w:hint="eastAsia"/>
        </w:rPr>
        <w:t xml:space="preserve">M9，总电量误差置信区间上端为</w:t>
      </w:r>
      <w:r>
        <w:t xml:space="preserve"> </w:t>
      </w:r>
      <w:r>
        <w:rPr>
          <w:rFonts w:hint="eastAsia"/>
        </w:rPr>
        <w:t xml:space="preserve">4.539%，接近</w:t>
      </w:r>
      <w:r>
        <w:t xml:space="preserve"> 5% </w:t>
      </w:r>
      <w:r>
        <w:rPr>
          <w:rFonts w:hint="eastAsia"/>
        </w:rPr>
        <w:t xml:space="preserve">阈值。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锚点</w:t>
            </w:r>
          </w:p>
        </w:tc>
        <w:tc>
          <w:tcPr/>
          <w:p>
            <w:pPr>
              <w:pStyle w:val="Compact"/>
              <w:jc w:val="right"/>
            </w:pPr>
            <w:r>
              <w:t xml:space="preserve">F3 </w:t>
            </w:r>
            <w:r>
              <w:rPr>
                <w:rFonts w:hint="eastAsia"/>
              </w:rPr>
              <w:t xml:space="preserve">总电量误差</w:t>
            </w:r>
            <w:r>
              <w:t xml:space="preserve"> CI </w:t>
            </w:r>
            <w:r>
              <w:rPr>
                <w:rFonts w:hint="eastAsia"/>
              </w:rPr>
              <w:t xml:space="preserve">上端</w:t>
            </w:r>
          </w:p>
        </w:tc>
        <w:tc>
          <w:tcPr/>
          <w:p>
            <w:pPr>
              <w:pStyle w:val="Compact"/>
              <w:jc w:val="right"/>
            </w:pPr>
            <w:r>
              <w:t xml:space="preserve">F3 </w:t>
            </w:r>
            <w:r>
              <w:rPr>
                <w:rFonts w:hint="eastAsia"/>
              </w:rPr>
              <w:t xml:space="preserve">节点份额</w:t>
            </w:r>
            <w:r>
              <w:t xml:space="preserve"> L1 CI </w:t>
            </w:r>
            <w:r>
              <w:rPr>
                <w:rFonts w:hint="eastAsia"/>
              </w:rPr>
              <w:t xml:space="preserve">上端</w:t>
            </w:r>
          </w:p>
        </w:tc>
        <w:tc>
          <w:tcPr/>
          <w:p>
            <w:pPr>
              <w:pStyle w:val="Compact"/>
            </w:pPr>
            <w:r>
              <w:rPr>
                <w:rFonts w:hint="eastAsia"/>
              </w:rPr>
              <w:t xml:space="preserve">判定</w:t>
            </w:r>
          </w:p>
        </w:tc>
      </w:tr>
      <w:tr>
        <w:tc>
          <w:tcPr/>
          <w:p>
            <w:pPr>
              <w:pStyle w:val="Compact"/>
            </w:pPr>
            <w:r>
              <w:t xml:space="preserve">M0</w:t>
            </w:r>
          </w:p>
        </w:tc>
        <w:tc>
          <w:tcPr/>
          <w:p>
            <w:pPr>
              <w:pStyle w:val="Compact"/>
              <w:jc w:val="right"/>
            </w:pPr>
            <w:r>
              <w:t xml:space="preserve">0.000%</w:t>
            </w:r>
          </w:p>
        </w:tc>
        <w:tc>
          <w:tcPr/>
          <w:p>
            <w:pPr>
              <w:pStyle w:val="Compact"/>
              <w:jc w:val="right"/>
            </w:pPr>
            <w:r>
              <w:t xml:space="preserve">0.0160</w:t>
            </w:r>
          </w:p>
        </w:tc>
        <w:tc>
          <w:tcPr/>
          <w:p>
            <w:pPr>
              <w:pStyle w:val="Compact"/>
            </w:pPr>
            <w:r>
              <w:rPr>
                <w:rFonts w:hint="eastAsia"/>
              </w:rPr>
              <w:t xml:space="preserve">通过</w:t>
            </w:r>
          </w:p>
        </w:tc>
      </w:tr>
      <w:tr>
        <w:tc>
          <w:tcPr/>
          <w:p>
            <w:pPr>
              <w:pStyle w:val="Compact"/>
            </w:pPr>
            <w:r>
              <w:t xml:space="preserve">M2</w:t>
            </w:r>
          </w:p>
        </w:tc>
        <w:tc>
          <w:tcPr/>
          <w:p>
            <w:pPr>
              <w:pStyle w:val="Compact"/>
              <w:jc w:val="right"/>
            </w:pPr>
            <w:r>
              <w:t xml:space="preserve">0.386%</w:t>
            </w:r>
          </w:p>
        </w:tc>
        <w:tc>
          <w:tcPr/>
          <w:p>
            <w:pPr>
              <w:pStyle w:val="Compact"/>
              <w:jc w:val="right"/>
            </w:pPr>
            <w:r>
              <w:t xml:space="preserve">0.0099</w:t>
            </w:r>
          </w:p>
        </w:tc>
        <w:tc>
          <w:tcPr/>
          <w:p>
            <w:pPr>
              <w:pStyle w:val="Compact"/>
            </w:pPr>
            <w:r>
              <w:rPr>
                <w:rFonts w:hint="eastAsia"/>
              </w:rPr>
              <w:t xml:space="preserve">通过</w:t>
            </w:r>
          </w:p>
        </w:tc>
      </w:tr>
      <w:tr>
        <w:tc>
          <w:tcPr/>
          <w:p>
            <w:pPr>
              <w:pStyle w:val="Compact"/>
            </w:pPr>
            <w:r>
              <w:t xml:space="preserve">M4</w:t>
            </w:r>
          </w:p>
        </w:tc>
        <w:tc>
          <w:tcPr/>
          <w:p>
            <w:pPr>
              <w:pStyle w:val="Compact"/>
              <w:jc w:val="right"/>
            </w:pPr>
            <w:r>
              <w:t xml:space="preserve">0.010%</w:t>
            </w:r>
          </w:p>
        </w:tc>
        <w:tc>
          <w:tcPr/>
          <w:p>
            <w:pPr>
              <w:pStyle w:val="Compact"/>
              <w:jc w:val="right"/>
            </w:pPr>
            <w:r>
              <w:t xml:space="preserve">0.0095</w:t>
            </w:r>
          </w:p>
        </w:tc>
        <w:tc>
          <w:tcPr/>
          <w:p>
            <w:pPr>
              <w:pStyle w:val="Compact"/>
            </w:pPr>
            <w:r>
              <w:rPr>
                <w:rFonts w:hint="eastAsia"/>
              </w:rPr>
              <w:t xml:space="preserve">通过</w:t>
            </w:r>
          </w:p>
        </w:tc>
      </w:tr>
      <w:tr>
        <w:tc>
          <w:tcPr/>
          <w:p>
            <w:pPr>
              <w:pStyle w:val="Compact"/>
            </w:pPr>
            <w:r>
              <w:t xml:space="preserve">M9</w:t>
            </w:r>
          </w:p>
        </w:tc>
        <w:tc>
          <w:tcPr/>
          <w:p>
            <w:pPr>
              <w:pStyle w:val="Compact"/>
              <w:jc w:val="right"/>
            </w:pPr>
            <w:r>
              <w:t xml:space="preserve">4.539%</w:t>
            </w:r>
          </w:p>
        </w:tc>
        <w:tc>
          <w:tcPr/>
          <w:p>
            <w:pPr>
              <w:pStyle w:val="Compact"/>
              <w:jc w:val="right"/>
            </w:pPr>
            <w:r>
              <w:t xml:space="preserve">0.0706</w:t>
            </w:r>
          </w:p>
        </w:tc>
        <w:tc>
          <w:tcPr/>
          <w:p>
            <w:pPr>
              <w:pStyle w:val="Compact"/>
            </w:pPr>
            <w:r>
              <w:rPr>
                <w:rFonts w:hint="eastAsia"/>
              </w:rPr>
              <w:t xml:space="preserve">通过</w:t>
            </w:r>
          </w:p>
        </w:tc>
      </w:tr>
    </w:tbl>
    <w:p>
      <w:pPr>
        <w:pStyle w:val="BodyText"/>
      </w:pPr>
      <w:r>
        <w:rPr>
          <w:rFonts w:hint="eastAsia"/>
        </w:rPr>
        <w:t xml:space="preserve">相比之下，F2</w:t>
      </w:r>
      <w:r>
        <w:t xml:space="preserve"> </w:t>
      </w:r>
      <w:r>
        <w:rPr>
          <w:rFonts w:hint="eastAsia"/>
        </w:rPr>
        <w:t xml:space="preserve">未能通过能量规划判据：总电量误差上端为</w:t>
      </w:r>
      <w:r>
        <w:t xml:space="preserve"> </w:t>
      </w:r>
      <w:r>
        <w:rPr>
          <w:rFonts w:hint="eastAsia"/>
        </w:rPr>
        <w:t xml:space="preserve">11.99%–12.86%，节点份额</w:t>
      </w:r>
      <w:r>
        <w:t xml:space="preserve"> L1 </w:t>
      </w:r>
      <w:r>
        <w:rPr>
          <w:rFonts w:hint="eastAsia"/>
        </w:rPr>
        <w:t xml:space="preserve">距离为</w:t>
      </w:r>
      <w:r>
        <w:t xml:space="preserve"> </w:t>
      </w:r>
      <w:r>
        <w:rPr>
          <w:rFonts w:hint="eastAsia"/>
        </w:rPr>
        <w:t xml:space="preserve">0.538–0.635。仅有限机队周转无法确定需要在哪里、补充多少能量；必须保留荷电状态、储备和跨任务能量记忆。</w:t>
      </w:r>
    </w:p>
    <w:bookmarkEnd w:id="31"/>
    <w:bookmarkStart w:id="35" w:name="功率轨迹保真度"/>
    <w:p>
      <w:pPr>
        <w:pStyle w:val="Heading3"/>
      </w:pPr>
      <w:r>
        <w:t xml:space="preserve">5.4 </w:t>
      </w:r>
      <w:r>
        <w:rPr>
          <w:rFonts w:hint="eastAsia"/>
        </w:rPr>
        <w:t xml:space="preserve">功率轨迹保真度</w:t>
      </w:r>
    </w:p>
    <w:p>
      <w:pPr>
        <w:pStyle w:val="FirstParagraph"/>
      </w:pPr>
      <w:r>
        <w:rPr>
          <w:rFonts w:hint="eastAsia"/>
        </w:rPr>
        <w:t xml:space="preserve">所有简化层均未在四个锚点全部通过功率轨迹判据。表</w:t>
      </w:r>
      <w:r>
        <w:t xml:space="preserve"> 3 </w:t>
      </w:r>
      <w:r>
        <w:rPr>
          <w:rFonts w:hint="eastAsia"/>
        </w:rPr>
        <w:t xml:space="preserve">报告</w:t>
      </w:r>
      <w:r>
        <w:t xml:space="preserve"> F3 </w:t>
      </w:r>
      <w:r>
        <w:rPr>
          <w:rFonts w:hint="eastAsia"/>
        </w:rPr>
        <w:t xml:space="preserve">的误差置信区间上端。</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锚点</w:t>
            </w:r>
          </w:p>
        </w:tc>
        <w:tc>
          <w:tcPr/>
          <w:p>
            <w:pPr>
              <w:pStyle w:val="Compact"/>
              <w:jc w:val="right"/>
            </w:pPr>
            <w:r>
              <w:rPr>
                <w:rFonts w:hint="eastAsia"/>
              </w:rPr>
              <w:t xml:space="preserve">曲线</w:t>
            </w:r>
            <w:r>
              <w:t xml:space="preserve"> L2</w:t>
            </w:r>
          </w:p>
        </w:tc>
        <w:tc>
          <w:tcPr/>
          <w:p>
            <w:pPr>
              <w:pStyle w:val="Compact"/>
              <w:jc w:val="right"/>
            </w:pPr>
            <w:r>
              <w:rPr>
                <w:rFonts w:hint="eastAsia"/>
              </w:rPr>
              <w:t xml:space="preserve">持续曲线</w:t>
            </w:r>
            <w:r>
              <w:t xml:space="preserve"> L2</w:t>
            </w:r>
          </w:p>
        </w:tc>
        <w:tc>
          <w:tcPr/>
          <w:p>
            <w:pPr>
              <w:pStyle w:val="Compact"/>
              <w:jc w:val="right"/>
            </w:pPr>
            <w:r>
              <w:rPr>
                <w:rFonts w:hint="eastAsia"/>
              </w:rPr>
              <w:t xml:space="preserve">峰值</w:t>
            </w:r>
          </w:p>
        </w:tc>
        <w:tc>
          <w:tcPr/>
          <w:p>
            <w:pPr>
              <w:pStyle w:val="Compact"/>
              <w:jc w:val="right"/>
            </w:pPr>
            <w:r>
              <w:t xml:space="preserve">P95</w:t>
            </w:r>
          </w:p>
        </w:tc>
        <w:tc>
          <w:tcPr/>
          <w:p>
            <w:pPr>
              <w:pStyle w:val="Compact"/>
              <w:jc w:val="right"/>
            </w:pPr>
            <w:r>
              <w:t xml:space="preserve">P99</w:t>
            </w:r>
          </w:p>
        </w:tc>
        <w:tc>
          <w:tcPr/>
          <w:p>
            <w:pPr>
              <w:pStyle w:val="Compact"/>
            </w:pPr>
            <w:r>
              <w:rPr>
                <w:rFonts w:hint="eastAsia"/>
              </w:rPr>
              <w:t xml:space="preserve">判定</w:t>
            </w:r>
          </w:p>
        </w:tc>
      </w:tr>
      <w:tr>
        <w:tc>
          <w:tcPr/>
          <w:p>
            <w:pPr>
              <w:pStyle w:val="Compact"/>
            </w:pPr>
            <w:r>
              <w:t xml:space="preserve">M0</w:t>
            </w:r>
          </w:p>
        </w:tc>
        <w:tc>
          <w:tcPr/>
          <w:p>
            <w:pPr>
              <w:pStyle w:val="Compact"/>
              <w:jc w:val="right"/>
            </w:pPr>
            <w:r>
              <w:t xml:space="preserve">17.50%</w:t>
            </w:r>
          </w:p>
        </w:tc>
        <w:tc>
          <w:tcPr/>
          <w:p>
            <w:pPr>
              <w:pStyle w:val="Compact"/>
              <w:jc w:val="right"/>
            </w:pPr>
            <w:r>
              <w:t xml:space="preserve">13.64%</w:t>
            </w:r>
          </w:p>
        </w:tc>
        <w:tc>
          <w:tcPr/>
          <w:p>
            <w:pPr>
              <w:pStyle w:val="Compact"/>
              <w:jc w:val="right"/>
            </w:pPr>
            <w:r>
              <w:t xml:space="preserve">14.44%</w:t>
            </w:r>
          </w:p>
        </w:tc>
        <w:tc>
          <w:tcPr/>
          <w:p>
            <w:pPr>
              <w:pStyle w:val="Compact"/>
              <w:jc w:val="right"/>
            </w:pPr>
            <w:r>
              <w:t xml:space="preserve">6.55%</w:t>
            </w:r>
          </w:p>
        </w:tc>
        <w:tc>
          <w:tcPr/>
          <w:p>
            <w:pPr>
              <w:pStyle w:val="Compact"/>
              <w:jc w:val="right"/>
            </w:pPr>
            <w:r>
              <w:t xml:space="preserve">13.69%</w:t>
            </w:r>
          </w:p>
        </w:tc>
        <w:tc>
          <w:tcPr/>
          <w:p>
            <w:pPr>
              <w:pStyle w:val="Compact"/>
            </w:pPr>
            <w:r>
              <w:rPr>
                <w:rFonts w:hint="eastAsia"/>
              </w:rPr>
              <w:t xml:space="preserve">未通过</w:t>
            </w:r>
          </w:p>
        </w:tc>
      </w:tr>
      <w:tr>
        <w:tc>
          <w:tcPr/>
          <w:p>
            <w:pPr>
              <w:pStyle w:val="Compact"/>
            </w:pPr>
            <w:r>
              <w:t xml:space="preserve">M2</w:t>
            </w:r>
          </w:p>
        </w:tc>
        <w:tc>
          <w:tcPr/>
          <w:p>
            <w:pPr>
              <w:pStyle w:val="Compact"/>
              <w:jc w:val="right"/>
            </w:pPr>
            <w:r>
              <w:t xml:space="preserve">16.81%</w:t>
            </w:r>
          </w:p>
        </w:tc>
        <w:tc>
          <w:tcPr/>
          <w:p>
            <w:pPr>
              <w:pStyle w:val="Compact"/>
              <w:jc w:val="right"/>
            </w:pPr>
            <w:r>
              <w:t xml:space="preserve">12.68%</w:t>
            </w:r>
          </w:p>
        </w:tc>
        <w:tc>
          <w:tcPr/>
          <w:p>
            <w:pPr>
              <w:pStyle w:val="Compact"/>
              <w:jc w:val="right"/>
            </w:pPr>
            <w:r>
              <w:t xml:space="preserve">14.48%</w:t>
            </w:r>
          </w:p>
        </w:tc>
        <w:tc>
          <w:tcPr/>
          <w:p>
            <w:pPr>
              <w:pStyle w:val="Compact"/>
              <w:jc w:val="right"/>
            </w:pPr>
            <w:r>
              <w:t xml:space="preserve">10.19%</w:t>
            </w:r>
          </w:p>
        </w:tc>
        <w:tc>
          <w:tcPr/>
          <w:p>
            <w:pPr>
              <w:pStyle w:val="Compact"/>
              <w:jc w:val="right"/>
            </w:pPr>
            <w:r>
              <w:t xml:space="preserve">12.40%</w:t>
            </w:r>
          </w:p>
        </w:tc>
        <w:tc>
          <w:tcPr/>
          <w:p>
            <w:pPr>
              <w:pStyle w:val="Compact"/>
            </w:pPr>
            <w:r>
              <w:rPr>
                <w:rFonts w:hint="eastAsia"/>
              </w:rPr>
              <w:t xml:space="preserve">未通过</w:t>
            </w:r>
          </w:p>
        </w:tc>
      </w:tr>
      <w:tr>
        <w:tc>
          <w:tcPr/>
          <w:p>
            <w:pPr>
              <w:pStyle w:val="Compact"/>
            </w:pPr>
            <w:r>
              <w:t xml:space="preserve">M4</w:t>
            </w:r>
          </w:p>
        </w:tc>
        <w:tc>
          <w:tcPr/>
          <w:p>
            <w:pPr>
              <w:pStyle w:val="Compact"/>
              <w:jc w:val="right"/>
            </w:pPr>
            <w:r>
              <w:t xml:space="preserve">16.14%</w:t>
            </w:r>
          </w:p>
        </w:tc>
        <w:tc>
          <w:tcPr/>
          <w:p>
            <w:pPr>
              <w:pStyle w:val="Compact"/>
              <w:jc w:val="right"/>
            </w:pPr>
            <w:r>
              <w:t xml:space="preserve">9.32%</w:t>
            </w:r>
          </w:p>
        </w:tc>
        <w:tc>
          <w:tcPr/>
          <w:p>
            <w:pPr>
              <w:pStyle w:val="Compact"/>
              <w:jc w:val="right"/>
            </w:pPr>
            <w:r>
              <w:t xml:space="preserve">9.92%</w:t>
            </w:r>
          </w:p>
        </w:tc>
        <w:tc>
          <w:tcPr/>
          <w:p>
            <w:pPr>
              <w:pStyle w:val="Compact"/>
              <w:jc w:val="right"/>
            </w:pPr>
            <w:r>
              <w:t xml:space="preserve">9.80%</w:t>
            </w:r>
          </w:p>
        </w:tc>
        <w:tc>
          <w:tcPr/>
          <w:p>
            <w:pPr>
              <w:pStyle w:val="Compact"/>
              <w:jc w:val="right"/>
            </w:pPr>
            <w:r>
              <w:t xml:space="preserve">11.70%</w:t>
            </w:r>
          </w:p>
        </w:tc>
        <w:tc>
          <w:tcPr/>
          <w:p>
            <w:pPr>
              <w:pStyle w:val="Compact"/>
            </w:pPr>
            <w:r>
              <w:rPr>
                <w:rFonts w:hint="eastAsia"/>
              </w:rPr>
              <w:t xml:space="preserve">未通过</w:t>
            </w:r>
          </w:p>
        </w:tc>
      </w:tr>
      <w:tr>
        <w:tc>
          <w:tcPr/>
          <w:p>
            <w:pPr>
              <w:pStyle w:val="Compact"/>
            </w:pPr>
            <w:r>
              <w:t xml:space="preserve">M9</w:t>
            </w:r>
          </w:p>
        </w:tc>
        <w:tc>
          <w:tcPr/>
          <w:p>
            <w:pPr>
              <w:pStyle w:val="Compact"/>
              <w:jc w:val="right"/>
            </w:pPr>
            <w:r>
              <w:t xml:space="preserve">40.75%</w:t>
            </w:r>
          </w:p>
        </w:tc>
        <w:tc>
          <w:tcPr/>
          <w:p>
            <w:pPr>
              <w:pStyle w:val="Compact"/>
              <w:jc w:val="right"/>
            </w:pPr>
            <w:r>
              <w:t xml:space="preserve">29.84%</w:t>
            </w:r>
          </w:p>
        </w:tc>
        <w:tc>
          <w:tcPr/>
          <w:p>
            <w:pPr>
              <w:pStyle w:val="Compact"/>
              <w:jc w:val="right"/>
            </w:pPr>
            <w:r>
              <w:t xml:space="preserve">52.50%</w:t>
            </w:r>
          </w:p>
        </w:tc>
        <w:tc>
          <w:tcPr/>
          <w:p>
            <w:pPr>
              <w:pStyle w:val="Compact"/>
              <w:jc w:val="right"/>
            </w:pPr>
            <w:r>
              <w:t xml:space="preserve">32.93%</w:t>
            </w:r>
          </w:p>
        </w:tc>
        <w:tc>
          <w:tcPr/>
          <w:p>
            <w:pPr>
              <w:pStyle w:val="Compact"/>
              <w:jc w:val="right"/>
            </w:pPr>
            <w:r>
              <w:t xml:space="preserve">45.11%</w:t>
            </w:r>
          </w:p>
        </w:tc>
        <w:tc>
          <w:tcPr/>
          <w:p>
            <w:pPr>
              <w:pStyle w:val="Compact"/>
            </w:pPr>
            <w:r>
              <w:rPr>
                <w:rFonts w:hint="eastAsia"/>
              </w:rPr>
              <w:t xml:space="preserve">未通过</w:t>
            </w:r>
          </w:p>
        </w:tc>
      </w:tr>
    </w:tbl>
    <w:p>
      <w:pPr>
        <w:pStyle w:val="BodyText"/>
      </w:pPr>
      <w:r>
        <w:t xml:space="preserve">M4 </w:t>
      </w:r>
      <w:r>
        <w:rPr>
          <w:rFonts w:hint="eastAsia"/>
        </w:rPr>
        <w:t xml:space="preserve">有若干指标单独低于</w:t>
      </w:r>
      <w:r>
        <w:t xml:space="preserve"> </w:t>
      </w:r>
      <w:r>
        <w:rPr>
          <w:rFonts w:hint="eastAsia"/>
        </w:rPr>
        <w:t xml:space="preserve">10%，但曲线</w:t>
      </w:r>
      <w:r>
        <w:t xml:space="preserve"> L2 </w:t>
      </w:r>
      <w:r>
        <w:rPr>
          <w:rFonts w:hint="eastAsia"/>
        </w:rPr>
        <w:t xml:space="preserve">和</w:t>
      </w:r>
      <w:r>
        <w:t xml:space="preserve"> P99 </w:t>
      </w:r>
      <w:r>
        <w:rPr>
          <w:rFonts w:hint="eastAsia"/>
        </w:rPr>
        <w:t xml:space="preserve">仍超过阈值，因此不能挑选有利指标把</w:t>
      </w:r>
      <w:r>
        <w:t xml:space="preserve"> F3 </w:t>
      </w:r>
      <w:r>
        <w:rPr>
          <w:rFonts w:hint="eastAsia"/>
        </w:rPr>
        <w:t xml:space="preserve">判为功率充分。M9</w:t>
      </w:r>
      <w:r>
        <w:t xml:space="preserve"> </w:t>
      </w:r>
      <w:r>
        <w:rPr>
          <w:rFonts w:hint="eastAsia"/>
        </w:rPr>
        <w:t xml:space="preserve">误差最大，说明有限充电桩竞争和排队是高需求、资源稀缺条件下形成时序负荷、峰值截顶和尾部功率的必要机制。</w:t>
      </w:r>
    </w:p>
    <w:p>
      <w:pPr>
        <w:pStyle w:val="CaptionedFigure"/>
      </w:pPr>
      <w:r>
        <w:drawing>
          <wp:inline>
            <wp:extent cx="5334000" cy="2708952"/>
            <wp:effectExtent b="0" l="0" r="0" t="0"/>
            <wp:docPr descr="图 1　按锚点和表征划分的阈值归一化保真度充分性" title="" id="33" name="Picture"/>
            <a:graphic>
              <a:graphicData uri="http://schemas.openxmlformats.org/drawingml/2006/picture">
                <pic:pic>
                  <pic:nvPicPr>
                    <pic:cNvPr descr="fig1_fidelity_sufficiency_thresholds.png" id="34" name="Picture"/>
                    <pic:cNvPicPr>
                      <a:picLocks noChangeArrowheads="1" noChangeAspect="1"/>
                    </pic:cNvPicPr>
                  </pic:nvPicPr>
                  <pic:blipFill>
                    <a:blip r:embed="rId32"/>
                    <a:stretch>
                      <a:fillRect/>
                    </a:stretch>
                  </pic:blipFill>
                  <pic:spPr bwMode="auto">
                    <a:xfrm>
                      <a:off x="0" y="0"/>
                      <a:ext cx="5334000" cy="2708952"/>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按锚点和表征划分的阈值归一化保真度充分性</w:t>
      </w:r>
    </w:p>
    <w:p>
      <w:pPr>
        <w:pStyle w:val="BodyText"/>
      </w:pPr>
      <w:r>
        <w:rPr>
          <w:rFonts w:hint="eastAsia"/>
        </w:rPr>
        <w:t xml:space="preserve">图</w:t>
      </w:r>
      <w:r>
        <w:t xml:space="preserve"> 1　</w:t>
      </w:r>
      <w:r>
        <w:rPr>
          <w:rFonts w:hint="eastAsia"/>
        </w:rPr>
        <w:t xml:space="preserve">阈值归一化保真度充分性。每个单元格为四锚点中最不利的</w:t>
      </w:r>
      <w:r>
        <w:t xml:space="preserve"> 95% </w:t>
      </w:r>
      <w:r>
        <w:rPr>
          <w:rFonts w:hint="eastAsia"/>
        </w:rPr>
        <w:t xml:space="preserve">置信区间上端与冻结阈值之比；比值不超过</w:t>
      </w:r>
      <w:r>
        <w:t xml:space="preserve"> 1 </w:t>
      </w:r>
      <w:r>
        <w:rPr>
          <w:rFonts w:hint="eastAsia"/>
        </w:rPr>
        <w:t xml:space="preserve">表示该判据通过。蓝色边框标记最低充分层：能量规划为</w:t>
      </w:r>
      <w:r>
        <w:t xml:space="preserve"> </w:t>
      </w:r>
      <w:r>
        <w:rPr>
          <w:rFonts w:hint="eastAsia"/>
        </w:rPr>
        <w:t xml:space="preserve">F3，功率轨迹为</w:t>
      </w:r>
      <w:r>
        <w:t xml:space="preserve"> F4。</w:t>
      </w:r>
    </w:p>
    <w:bookmarkEnd w:id="35"/>
    <w:bookmarkStart w:id="36" w:name="最低充分层"/>
    <w:p>
      <w:pPr>
        <w:pStyle w:val="Heading3"/>
      </w:pPr>
      <w:r>
        <w:t xml:space="preserve">5.5 </w:t>
      </w:r>
      <w:r>
        <w:rPr>
          <w:rFonts w:hint="eastAsia"/>
        </w:rPr>
        <w:t xml:space="preserve">最低充分层</w:t>
      </w:r>
    </w:p>
    <w:p>
      <w:pPr>
        <w:pStyle w:val="FirstParagraph"/>
      </w:pPr>
      <w:r>
        <w:rPr>
          <w:rFonts w:hint="eastAsia"/>
        </w:rPr>
        <w:t xml:space="preserve">在冻结判据下，</w:t>
      </w:r>
      <w:r>
        <w:rPr>
          <w:rFonts w:hint="eastAsia"/>
          <w:b/>
          <w:bCs/>
        </w:rPr>
        <w:t xml:space="preserve">能量规划输出的最低充分层为</w:t>
      </w:r>
      <w:r>
        <w:rPr>
          <w:b/>
          <w:bCs/>
        </w:rPr>
        <w:t xml:space="preserve"> </w:t>
      </w:r>
      <w:r>
        <w:rPr>
          <w:rFonts w:hint="eastAsia"/>
          <w:b/>
          <w:bCs/>
        </w:rPr>
        <w:t xml:space="preserve">F3，功率轨迹输出的最低充分层为</w:t>
      </w:r>
      <w:r>
        <w:rPr>
          <w:b/>
          <w:bCs/>
        </w:rPr>
        <w:t xml:space="preserve"> F4</w:t>
      </w:r>
      <w:r>
        <w:rPr>
          <w:rFonts w:hint="eastAsia"/>
        </w:rPr>
        <w:t xml:space="preserve">。该结果不是普适排序：荷电状态主要决定需要补充多少能量以及在哪些节点补充；有限充电桩决定何时能够充电、能否并发充电以及峰值如何被截顶。五层模型均被保留，因为每层隔离不同机制；最低充分性只针对具体输出类别定义。</w:t>
      </w:r>
    </w:p>
    <w:bookmarkEnd w:id="36"/>
    <w:bookmarkEnd w:id="37"/>
    <w:bookmarkStart w:id="38" w:name="讨论"/>
    <w:p>
      <w:pPr>
        <w:pStyle w:val="Heading2"/>
      </w:pPr>
      <w:r>
        <w:t xml:space="preserve">6. </w:t>
      </w:r>
      <w:r>
        <w:rPr>
          <w:rFonts w:hint="eastAsia"/>
        </w:rPr>
        <w:t xml:space="preserve">讨论</w:t>
      </w:r>
    </w:p>
    <w:p>
      <w:pPr>
        <w:pStyle w:val="FirstParagraph"/>
      </w:pPr>
      <w:r>
        <w:rPr>
          <w:rFonts w:hint="eastAsia"/>
        </w:rPr>
        <w:t xml:space="preserve">核心发现是最低充分保真度取决于输出。荷电状态可行性和任务可行性规则决定必须补充多少能量、在哪些节点补充；有限充电桩决定何时补充、能否并发补充以及峰值功率如何被截顶。这两组机制不应合并为单一模型质量尺度。</w:t>
      </w:r>
    </w:p>
    <w:p>
      <w:pPr>
        <w:pStyle w:val="BodyText"/>
      </w:pPr>
      <w:r>
        <w:rPr>
          <w:rFonts w:hint="eastAsia"/>
        </w:rPr>
        <w:t xml:space="preserve">对于需要总充电电量或节点电量份额的能量规划研究，F3</w:t>
      </w:r>
      <w:r>
        <w:t xml:space="preserve"> </w:t>
      </w:r>
      <w:r>
        <w:rPr>
          <w:rFonts w:hint="eastAsia"/>
        </w:rPr>
        <w:t xml:space="preserve">在测试锚点空间内足够。对于容量、峰值和尾部功率研究，必须使用</w:t>
      </w:r>
      <w:r>
        <w:t xml:space="preserve"> </w:t>
      </w:r>
      <w:r>
        <w:rPr>
          <w:rFonts w:hint="eastAsia"/>
        </w:rPr>
        <w:t xml:space="preserve">F4。高需求紧充电的</w:t>
      </w:r>
      <w:r>
        <w:t xml:space="preserve"> M9 </w:t>
      </w:r>
      <w:r>
        <w:rPr>
          <w:rFonts w:hint="eastAsia"/>
        </w:rPr>
        <w:t xml:space="preserve">是关键边界：它产生最大的</w:t>
      </w:r>
      <w:r>
        <w:t xml:space="preserve"> F3 </w:t>
      </w:r>
      <w:r>
        <w:rPr>
          <w:rFonts w:hint="eastAsia"/>
        </w:rPr>
        <w:t xml:space="preserve">功率误差，也产生最接近预先注册阈值的</w:t>
      </w:r>
      <w:r>
        <w:t xml:space="preserve"> F3 </w:t>
      </w:r>
      <w:r>
        <w:rPr>
          <w:rFonts w:hint="eastAsia"/>
        </w:rPr>
        <w:t xml:space="preserve">能量误差。实践者应在选择模型保真度前，报告输出、容限、运行工况和核算端点。</w:t>
      </w:r>
    </w:p>
    <w:p>
      <w:pPr>
        <w:pStyle w:val="BodyText"/>
      </w:pPr>
      <w:r>
        <w:rPr>
          <w:rFonts w:hint="eastAsia"/>
        </w:rPr>
        <w:t xml:space="preserve">不同时性结果具有直接实践含义。平均负荷曲线适合可视化，但不是容量统计量。逐次运行峰值比平均曲线峰值高</w:t>
      </w:r>
      <w:r>
        <w:t xml:space="preserve"> 340–641 </w:t>
      </w:r>
      <w:r>
        <w:rPr>
          <w:rFonts w:hint="eastAsia"/>
        </w:rPr>
        <w:t xml:space="preserve">kW，因此基于平均轨迹的基础设施筛查会低估峰值暴露。容量分析应保留逐次随机峰值，或使用明确规定的上尾统计量。</w:t>
      </w:r>
    </w:p>
    <w:p>
      <w:pPr>
        <w:pStyle w:val="BodyText"/>
      </w:pPr>
      <w:r>
        <w:rPr>
          <w:rFonts w:hint="eastAsia"/>
        </w:rPr>
        <w:t xml:space="preserve">结果还表明，模型保真度不能替代航空器性能假设的不确定性。低能量边界对总能量的影响大于测试的空间再分配，而成批、荷电状态阈值和充电桩竞争主要塑造时序。基础设施研究应区分能量来源不确定性与运行同步不确定性。</w:t>
      </w:r>
    </w:p>
    <w:bookmarkEnd w:id="38"/>
    <w:bookmarkStart w:id="39" w:name="局限性"/>
    <w:p>
      <w:pPr>
        <w:pStyle w:val="Heading2"/>
      </w:pPr>
      <w:r>
        <w:t xml:space="preserve">7. </w:t>
      </w:r>
      <w:r>
        <w:rPr>
          <w:rFonts w:hint="eastAsia"/>
        </w:rPr>
        <w:t xml:space="preserve">局限性</w:t>
      </w:r>
    </w:p>
    <w:p>
      <w:pPr>
        <w:pStyle w:val="FirstParagraph"/>
      </w:pPr>
      <w:r>
        <w:rPr>
          <w:rFonts w:hint="eastAsia"/>
        </w:rPr>
        <w:t xml:space="preserve">这是一个稳态峰值窗口机制实验，不是运行预测。泊松需求过程未表示日内高峰、预订、取消、多模式接驳或相关</w:t>
      </w:r>
      <w:r>
        <w:t xml:space="preserve"> OD </w:t>
      </w:r>
      <w:r>
        <w:rPr>
          <w:rFonts w:hint="eastAsia"/>
        </w:rPr>
        <w:t xml:space="preserve">冲击；节点是抽象结构，不代表某个具体城市网络。</w:t>
      </w:r>
    </w:p>
    <w:p>
      <w:pPr>
        <w:pStyle w:val="BodyText"/>
      </w:pPr>
      <w:r>
        <w:t xml:space="preserve">1 </w:t>
      </w:r>
      <w:r>
        <w:rPr>
          <w:rFonts w:hint="eastAsia"/>
        </w:rPr>
        <w:t xml:space="preserve">分钟时钟不解析亚分钟顺序、电瞬态或充电桩控制动态。航空器性能使用线性航路能量关系和固定可用容量；天气、载荷、电池温度、退化、非线性充电和航空器异质性被省略。基础设施被表示为有限同质充电桩，不包含馈线上限、变压器约束、电压或智能充电。</w:t>
      </w:r>
    </w:p>
    <w:p>
      <w:pPr>
        <w:pStyle w:val="BodyText"/>
      </w:pPr>
      <w:r>
        <w:rPr>
          <w:rFonts w:hint="eastAsia"/>
        </w:rPr>
        <w:t xml:space="preserve">保真度结论依赖冻结阈值、四个锚点情景和一个抽象网络。M9</w:t>
      </w:r>
      <w:r>
        <w:t xml:space="preserve"> </w:t>
      </w:r>
      <w:r>
        <w:rPr>
          <w:rFonts w:hint="eastAsia"/>
        </w:rPr>
        <w:t xml:space="preserve">的</w:t>
      </w:r>
      <w:r>
        <w:t xml:space="preserve"> 4.539% </w:t>
      </w:r>
      <w:r>
        <w:rPr>
          <w:rFonts w:hint="eastAsia"/>
        </w:rPr>
        <w:t xml:space="preserve">能量误差接近</w:t>
      </w:r>
      <w:r>
        <w:t xml:space="preserve"> 5% </w:t>
      </w:r>
      <w:r>
        <w:rPr>
          <w:rFonts w:hint="eastAsia"/>
        </w:rPr>
        <w:t xml:space="preserve">边界，因此不能外推到更强充电稀缺条件而不重新审计。F4</w:t>
      </w:r>
      <w:r>
        <w:t xml:space="preserve"> </w:t>
      </w:r>
      <w:r>
        <w:rPr>
          <w:rFonts w:hint="eastAsia"/>
        </w:rPr>
        <w:t xml:space="preserve">是机制参照，不是经过验证的数字孪生，也不是电气设计优化。</w:t>
      </w:r>
    </w:p>
    <w:bookmarkEnd w:id="39"/>
    <w:bookmarkStart w:id="40" w:name="结论"/>
    <w:p>
      <w:pPr>
        <w:pStyle w:val="Heading2"/>
      </w:pPr>
      <w:r>
        <w:t xml:space="preserve">8. </w:t>
      </w:r>
      <w:r>
        <w:rPr>
          <w:rFonts w:hint="eastAsia"/>
        </w:rPr>
        <w:t xml:space="preserve">结论</w:t>
      </w:r>
    </w:p>
    <w:p>
      <w:pPr>
        <w:pStyle w:val="FirstParagraph"/>
      </w:pPr>
      <w:r>
        <w:rPr>
          <w:rFonts w:hint="eastAsia"/>
        </w:rPr>
        <w:t xml:space="preserve">本文提出并应用了一套预先注册的嵌套模型审计方法，用于在内生垂直起降场充电负荷模型中选择运行细节。随机到达通过队列触发成批、有限机队周转、服务必需空机返场、荷电状态可行性和有限充电桩竞争转化为功率。共同随机输入、守恒检查和明确误差判据使表征比较可追溯。</w:t>
      </w:r>
    </w:p>
    <w:p>
      <w:pPr>
        <w:pStyle w:val="BodyText"/>
      </w:pPr>
      <w:r>
        <w:rPr>
          <w:rFonts w:hint="eastAsia"/>
        </w:rPr>
        <w:t xml:space="preserve">在冻结判据下，F3</w:t>
      </w:r>
      <w:r>
        <w:t xml:space="preserve"> </w:t>
      </w:r>
      <w:r>
        <w:rPr>
          <w:rFonts w:hint="eastAsia"/>
        </w:rPr>
        <w:t xml:space="preserve">是四个锚点中能量规划输出的最低充分层，而时间分辨功率、峰值和尾部功率分析需要</w:t>
      </w:r>
      <w:r>
        <w:t xml:space="preserve"> </w:t>
      </w:r>
      <w:r>
        <w:rPr>
          <w:rFonts w:hint="eastAsia"/>
        </w:rPr>
        <w:t xml:space="preserve">F4。高需求与紧充电同时出现时，保真度误差最大。结果支持一条实践规则：运行保真度应与决策输出、容限、运行工况和核算端点联合选择，并在基础设施规模评估中保留逐次峰值。</w:t>
      </w:r>
    </w:p>
    <w:bookmarkEnd w:id="40"/>
    <w:bookmarkStart w:id="41" w:name="作者贡献"/>
    <w:p>
      <w:pPr>
        <w:pStyle w:val="Heading2"/>
      </w:pPr>
      <w:r>
        <w:rPr>
          <w:rFonts w:hint="eastAsia"/>
        </w:rPr>
        <w:t xml:space="preserve">作者贡献</w:t>
      </w:r>
    </w:p>
    <w:p>
      <w:pPr>
        <w:pStyle w:val="FirstParagraph"/>
      </w:pPr>
      <w:r>
        <w:rPr>
          <w:rFonts w:hint="eastAsia"/>
        </w:rPr>
        <w:t xml:space="preserve">胡楚铭：概念化、方法设计、软件开发、正式分析、论文撰写与可视化。</w:t>
      </w:r>
    </w:p>
    <w:bookmarkEnd w:id="41"/>
    <w:bookmarkStart w:id="42" w:name="利益冲突声明"/>
    <w:p>
      <w:pPr>
        <w:pStyle w:val="Heading2"/>
      </w:pPr>
      <w:r>
        <w:rPr>
          <w:rFonts w:hint="eastAsia"/>
        </w:rPr>
        <w:t xml:space="preserve">利益冲突声明</w:t>
      </w:r>
    </w:p>
    <w:p>
      <w:pPr>
        <w:pStyle w:val="FirstParagraph"/>
      </w:pPr>
      <w:r>
        <w:rPr>
          <w:rFonts w:hint="eastAsia"/>
        </w:rPr>
        <w:t xml:space="preserve">作者声明不存在利益冲突。</w:t>
      </w:r>
    </w:p>
    <w:bookmarkEnd w:id="42"/>
    <w:bookmarkStart w:id="43" w:name="数据与代码可用性"/>
    <w:p>
      <w:pPr>
        <w:pStyle w:val="Heading2"/>
      </w:pPr>
      <w:r>
        <w:rPr>
          <w:rFonts w:hint="eastAsia"/>
        </w:rPr>
        <w:t xml:space="preserve">数据与代码可用性</w:t>
      </w:r>
    </w:p>
    <w:p>
      <w:pPr>
        <w:pStyle w:val="FirstParagraph"/>
      </w:pPr>
      <w:r>
        <w:rPr>
          <w:rFonts w:hint="eastAsia"/>
        </w:rPr>
        <w:t xml:space="preserve">仿真脚本、配置文件、守恒检查和聚合结果可向通讯作者申请获取。复现记录包含种子编号、守恒残差和确定性重放协议。</w:t>
      </w:r>
    </w:p>
    <w:bookmarkEnd w:id="43"/>
    <w:bookmarkStart w:id="44" w:name="参考文献"/>
    <w:p>
      <w:pPr>
        <w:pStyle w:val="Heading2"/>
      </w:pPr>
      <w:r>
        <w:rPr>
          <w:rFonts w:hint="eastAsia"/>
        </w:rPr>
        <w:t xml:space="preserve">参考文献</w:t>
      </w:r>
    </w:p>
    <w:p>
      <w:pPr>
        <w:pStyle w:val="Compact"/>
        <w:numPr>
          <w:ilvl w:val="0"/>
          <w:numId w:val="1003"/>
        </w:numPr>
      </w:pPr>
      <w:r>
        <w:t xml:space="preserve">Taye, A.G., Pradeep, P., Wei, P., Jones, J.C., Bonin, T., Eberle, D., 2024. Energy demand analysis for eVTOL charging stations in urban air mobility. AIAA AVIATION FORUM AND ASCEND 2024. https://doi.org/10.2514/6.2024-4627</w:t>
      </w:r>
    </w:p>
    <w:p>
      <w:pPr>
        <w:pStyle w:val="Compact"/>
        <w:numPr>
          <w:ilvl w:val="0"/>
          <w:numId w:val="1003"/>
        </w:numPr>
      </w:pPr>
      <w:r>
        <w:t xml:space="preserve">Onat, E.B., Bulusu, V., Chakrabarty, A., Hansen, M., Sengupta, R., Sridhar, B., 2024. Evaluating eVTOL network performance and fleet dynamics through simulation-based analysis. AIAA SCITECH 2024 Forum. https://doi.org/10.2514/6.2024-0336</w:t>
      </w:r>
    </w:p>
    <w:p>
      <w:pPr>
        <w:pStyle w:val="Compact"/>
        <w:numPr>
          <w:ilvl w:val="0"/>
          <w:numId w:val="1003"/>
        </w:numPr>
      </w:pPr>
      <w:r>
        <w:t xml:space="preserve">Li, B., Zhang, Y., 2026. AAMSim: a comprehensive simulator for advanced air mobility operations and planning. Transportation Research Part C: Emerging Technologies, in press, 105858. https://doi.org/10.1016/j.trc.2026.105858</w:t>
      </w:r>
    </w:p>
    <w:p>
      <w:pPr>
        <w:pStyle w:val="Compact"/>
        <w:numPr>
          <w:ilvl w:val="0"/>
          <w:numId w:val="1003"/>
        </w:numPr>
      </w:pPr>
      <w:r>
        <w:t xml:space="preserve">Wu, J., Cao, S., Hansen, M., González, M.C., 2025. Integrating urban air mobility into the power grid through smart charging solutions. Transportation Research Part C: Emerging Technologies 179, 105281. https://doi.org/10.1016/j.trc.2025.105281</w:t>
      </w:r>
    </w:p>
    <w:p>
      <w:pPr>
        <w:pStyle w:val="Compact"/>
        <w:numPr>
          <w:ilvl w:val="0"/>
          <w:numId w:val="1003"/>
        </w:numPr>
      </w:pPr>
      <w:r>
        <w:t xml:space="preserve">Cheilas, D., Bindner, H.W., Weckesser, T., 2025. Impact of limited information on estimating aggregated electric vehicle loading: A distribution system operator perspective. Sustainable Energy, Grids and Networks 44, 102012. https://doi.org/10.1016/j.segan.2025.102012</w:t>
      </w:r>
    </w:p>
    <w:p>
      <w:pPr>
        <w:pStyle w:val="Compact"/>
        <w:numPr>
          <w:ilvl w:val="0"/>
          <w:numId w:val="1003"/>
        </w:numPr>
      </w:pPr>
      <w:r>
        <w:t xml:space="preserve">Priesmann, J., Nolting, L., Praktiknjo, A., 2019. Are complex energy system models more accurate? An intra-model comparison of power system optimization models. Applied Energy 255, 113783. https://doi.org/10.1016/j.apenergy.2019.113783</w:t>
      </w:r>
    </w:p>
    <w:p>
      <w:pPr>
        <w:pStyle w:val="Compact"/>
        <w:numPr>
          <w:ilvl w:val="0"/>
          <w:numId w:val="1003"/>
        </w:numPr>
      </w:pPr>
      <w:r>
        <w:t xml:space="preserve">Sripad, S., Viswanathan, V., 2021. The promise of energy-efficient battery-powered urban aircraft. Proceedings of the National Academy of Sciences 118, e2111164118. https://doi.org/10.1073/pnas.2111164118</w:t>
      </w:r>
    </w:p>
    <w:p>
      <w:pPr>
        <w:pStyle w:val="Compact"/>
        <w:numPr>
          <w:ilvl w:val="0"/>
          <w:numId w:val="1003"/>
        </w:numPr>
      </w:pPr>
      <w:r>
        <w:t xml:space="preserve">Kohlman, L.W., Patterson, M.D., 2018. System-level urban air mobility transportation modeling and determination of energy-related constraints. 2018 Aviation Technology, Integration, and Operations Conference. https://doi.org/10.2514/6.2018-3677</w:t>
      </w:r>
    </w:p>
    <w:p>
      <w:pPr>
        <w:pStyle w:val="Compact"/>
        <w:numPr>
          <w:ilvl w:val="0"/>
          <w:numId w:val="1003"/>
        </w:numPr>
      </w:pPr>
      <w:r>
        <w:t xml:space="preserve">Li, S., Egorov, M., Kochenderfer, M.J., 2020. Analysis of fleet management and infrastructure constraints in on-demand urban air mobility operations. AIAA AVIATION 2020 Forum. https://doi.org/10.2514/6.2020-2907</w:t>
      </w:r>
    </w:p>
    <w:p>
      <w:pPr>
        <w:pStyle w:val="Compact"/>
        <w:numPr>
          <w:ilvl w:val="0"/>
          <w:numId w:val="1003"/>
        </w:numPr>
      </w:pPr>
      <w:r>
        <w:t xml:space="preserve">Naser, F., Peinecke, N., Schuchardt, B.I., 2021. Air taxis vs. taxicabs: a simulation study on the efficiency of UAM. AIAA AVIATION 2021 Forum. https://doi.org/10.2514/6.2021-3202</w:t>
      </w:r>
    </w:p>
    <w:p>
      <w:pPr>
        <w:pStyle w:val="Compact"/>
        <w:numPr>
          <w:ilvl w:val="0"/>
          <w:numId w:val="1003"/>
        </w:numPr>
      </w:pPr>
      <w:r>
        <w:t xml:space="preserve">Wirtz, M., Hahn, M., Schreiber, T., Müller, D., 2021. Design optimization of multi-energy systems using mixed-integer linear programming: Which model complexity and level of detail is sufficient? Energy Conversion and Management 240, 114249. https://doi.org/10.1016/j.enconman.2021.114249</w:t>
      </w:r>
    </w:p>
    <w:p>
      <w:pPr>
        <w:pStyle w:val="Compact"/>
        <w:numPr>
          <w:ilvl w:val="0"/>
          <w:numId w:val="1003"/>
        </w:numPr>
      </w:pPr>
      <w:r>
        <w:t xml:space="preserve">Gils, H.C., Gardian, H., Kittel, M., et al., 2022. Modeling flexibility in energy systems—comparison of power sector models based on simplified test cases. Renewable and Sustainable Energy Reviews 158, 111995. https://doi.org/10.1016/j.rser.2021.111995</w:t>
      </w:r>
    </w:p>
    <w:p>
      <w:pPr>
        <w:pStyle w:val="Compact"/>
        <w:numPr>
          <w:ilvl w:val="0"/>
          <w:numId w:val="1003"/>
        </w:numPr>
      </w:pPr>
      <w:r>
        <w:t xml:space="preserve">Daganzo, C.F., Gayah, V.V., Gonzales, E.J., 2012. The potential of parsimonious models for understanding large scale transportation systems and answering big picture questions. EURO Journal on Transportation and Logistics 1, 47–65. https://doi.org/10.1007/s13676-012-0003-z</w:t>
      </w:r>
    </w:p>
    <w:p>
      <w:pPr>
        <w:pStyle w:val="Compact"/>
        <w:numPr>
          <w:ilvl w:val="0"/>
          <w:numId w:val="1003"/>
        </w:numPr>
      </w:pPr>
      <w:r>
        <w:t xml:space="preserve">Peinturier, L., Wallom, D., 2025. Building energy simulation calibration accuracy and modelling complexity: Implications for energy performance improvement. Energy and Buildings, 115971. https://doi.org/10.1016/j.enbuild.2025.115971</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2026-09-09T01:21:23Z</dcterms:created>
  <dcterms:modified xsi:type="dcterms:W3CDTF">2026-09-09T01:21:23Z</dcterms:modified>
</cp:coreProperties>
</file>

<file path=docProps/custom.xml><?xml version="1.0" encoding="utf-8"?>
<Properties xmlns="http://schemas.openxmlformats.org/officeDocument/2006/custom-properties" xmlns:vt="http://schemas.openxmlformats.org/officeDocument/2006/docPropsVTypes"/>
</file>