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Implementierungsbericht</w:t>
      </w:r>
    </w:p>
    <w:p>
      <w:pPr>
        <w:spacing w:after="120" w:before="200"/>
        <w:jc w:val="center"/>
      </w:pPr>
      <w:r>
        <w:rPr>
          <w:rFonts w:ascii="Arial" w:cs="Arial" w:eastAsia="Arial" w:hAnsi="Arial"/>
          <w:color w:val="3D5A80"/>
          <w:sz w:val="36"/>
          <w:szCs w:val="36"/>
        </w:rPr>
        <w:t xml:space="preserve">Marginal Probability Contributions</w:t>
      </w:r>
    </w:p>
    <w:p>
      <w:pPr>
        <w:spacing w:after="120" w:before="2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Refactoring der Factor Contribution Barchart-Visualisierung</w:t>
      </w:r>
    </w:p>
    <w:p>
      <w:pPr>
        <w:spacing w:before="800"/>
      </w:pPr>
    </w:p>
    <w:p>
      <w:pPr>
        <w:spacing w:after="120" w:before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Diabetes Risk Calculator – EID Interface – Marco Haeckel – 22. März 2026</w:t>
      </w:r>
    </w:p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1. Zusammenfassung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Dieses Dokument beschreibt das Refactoring der Factor Contribution Barchart-Visualisierung im Diabetes Risk Calculator. Die bisherige normalisierte Log-Odds-Darstellung wurde durch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Marginal Probability Contributions (MPC)</w:t>
      </w:r>
      <w:r>
        <w:rPr>
          <w:rFonts w:ascii="Arial" w:cs="Arial" w:eastAsia="Arial" w:hAnsi="Arial"/>
          <w:sz w:val="22"/>
          <w:szCs w:val="22"/>
        </w:rPr>
        <w:t xml:space="preserve"> ersetzt. MPC drücken Risikobeiträge direkt als prozentuale Änderung der Diabeteswahrscheinlichkeit aus – statt abstrakter Log-Odds-Anteile.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Die Implementierung wurde durch spezialisierte Agenten durchgeführt: Code-Agenten (Sonnet) für die drei betroffenen Dateien, ein Mathematiker-Agent für formale Verifikation, sowie ein UX-Agent für die Nutzerperspektive. Alle Validierungen wurden bestanden.</w:t>
      </w:r>
    </w:p>
    <w:p>
      <w:pPr>
        <w:pStyle w:val="Heading1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2. Problemanalyse: Bisherige Implementierung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2.1 Alte Mathematik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Die bisherige Darstellung berechnete für jeden Risikofaktor i einen Log-Odds-Beitrag cᵢ = βᵢ × (xᵢ − μᵢ) und normalisierte auf 100%: pctᵢ = |cᵢ| / Σ|cⱼ| × 100.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2.2 Identifizierte Probleme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5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Log-Odds ≠ Risiko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Prozente leben im Log-Odds-Raum, werden aber als Risikoanteile kommuniziert. „42%“ bedeutet nicht 42% des Gesamtrisikos.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Immer 100%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Summe ist stets 100%, egal ob Gesamtrisiko 3% oder 60%. Kein Magnitude-Kontext.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Informationsverlust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Durch Normalisierung geht die absolute Größe der Abweichungen verloren.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Filter-Inkonsistenz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Beim Ausblenden der grünen Balken addierten sich die verbleibenden Prozente nicht mehr auf 100%.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Scheinpräzision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Exakte Prozente suggerierten mehr Genauigkeit als abstrakte Log-Odds-Anteile hergeben.</w:t>
            </w:r>
          </w:p>
        </w:tc>
      </w:tr>
    </w:tbl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3. Mathematische Lösung: Marginal Probability Contributions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3.1 Kernidee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Für jeden Faktor berechnen wir: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Um wie viel würde sich die Risikowahrscheinlichkeit ändern, wenn dieser Faktor auf dem Populationsmittelwert läge?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3.2 Formale Definition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Gegeben: LP = vollständiger linearer Prädiktor, cᵢ = βᵢ(xᵢ − μᵢ). Die marginale Contribution ist:</w:t>
      </w:r>
    </w:p>
    <w:p>
      <w:pPr>
        <w:spacing w:after="200" w:before="20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Δᵢ = P_full − P_ohne_i = 1/(1+e^(-LP)) − 1/(1+e^(-(LP−cᵢ)))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P_full ist das Gesamtrisiko mit allen tatsächlichen Werten. P_ohne_i ist das Risiko wenn Faktor i auf dem Populationsmittel μᵢ läge (alle anderen Faktoren unverändert).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3.3 Vorzeichen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53"/>
        <w:gridCol w:w="375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Vorzeichen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Δᵢ &gt; 0 (rot)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Faktor erhöht das Risiko vs. Durchschnitt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Glukose 7.0 &gt; Mittel 5.44: Δ = +4.2%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9933"/>
                <w:sz w:val="20"/>
                <w:szCs w:val="20"/>
              </w:rPr>
              <w:t xml:space="preserve">Δᵢ &lt; 0 (grün)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Faktor senkt das Risiko vs. Durchschnitt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HDL 1.5 &gt; Mittel 1.3: Δ = −1.8%</w:t>
            </w:r>
          </w:p>
        </w:tc>
      </w:tr>
    </w:tbl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3.4 Summeneigenschaft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Die Δᵢ-Werte summieren sich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approximativ</w:t>
      </w:r>
      <w:r>
        <w:rPr>
          <w:rFonts w:ascii="Arial" w:cs="Arial" w:eastAsia="Arial" w:hAnsi="Arial"/>
          <w:sz w:val="22"/>
          <w:szCs w:val="22"/>
        </w:rPr>
        <w:t xml:space="preserve"> zur Differenz P_full − P_baseline. Die Abweichung entsteht durch die Nichtlinearität der Logit-Funktion. Dies ist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kein Fehler</w:t>
      </w:r>
      <w:r>
        <w:rPr>
          <w:rFonts w:ascii="Arial" w:cs="Arial" w:eastAsia="Arial" w:hAnsi="Arial"/>
          <w:sz w:val="22"/>
          <w:szCs w:val="22"/>
        </w:rPr>
        <w:t xml:space="preserve"> – es reflektiert ehrlich die Interaktionseffekte, die das alte System durch künstliche 100%-Normalisierung versteckt hat.</w:t>
      </w:r>
    </w:p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4. Code-Implementierung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4.1 Geänderte Dateien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0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Änderung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js/risk-model.js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Funktionen hinzugefügt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computeBaselineRisk(), computeMarginalContributions(), computeMarginalSummary()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js/ui-controller.js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Funktionen umgeschrieben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renderContributionChart() → MPC-basiert mit Summary-Banner; renderTreatmentOverview() → Vorzeichen + % statt normalisierte Prozente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js/app.js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Datenfluss angepasst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calculate() und onToggleUnits() berechnen jetzt logOddsContributions + marginalSummary parallel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index.html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Beschreibungstext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„How much each factor contributes to your overall risk deviation from the population average.“</w:t>
            </w:r>
          </w:p>
        </w:tc>
      </w:tr>
    </w:tbl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4.2 Neue Funktionen in risk-model.js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computeBaselineRisk()</w:t>
      </w:r>
      <w:r>
        <w:rPr>
          <w:rFonts w:ascii="Arial" w:cs="Arial" w:eastAsia="Arial" w:hAnsi="Arial"/>
          <w:sz w:val="22"/>
          <w:szCs w:val="22"/>
        </w:rPr>
        <w:t xml:space="preserve"> – Berechnet LP_baseline = σ + Σ(βⱼ × μⱼ) und gibt P_baseline = 1/(1+e^(-LP_baseline)) zurück. Dient als Referenzwert im Summary-Banner.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computeMarginalContributions(siVals)</w:t>
      </w:r>
      <w:r>
        <w:rPr>
          <w:rFonts w:ascii="Arial" w:cs="Arial" w:eastAsia="Arial" w:hAnsi="Arial"/>
          <w:sz w:val="22"/>
          <w:szCs w:val="22"/>
        </w:rPr>
        <w:t xml:space="preserve"> – Iteriert über alle 9 Faktoren, berechnet cᵢ = βᵢ(xᵢ−μᵢ), entfernt cᵢ vom LP, und gibt Δᵢ = P_full − P_ohne_i zurück.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computeMarginalSummary(siVals)</w:t>
      </w:r>
      <w:r>
        <w:rPr>
          <w:rFonts w:ascii="Arial" w:cs="Arial" w:eastAsia="Arial" w:hAnsi="Arial"/>
          <w:sz w:val="22"/>
          <w:szCs w:val="22"/>
        </w:rPr>
        <w:t xml:space="preserve"> – Fassade: bündelt contributions, pFull, pBaseline, netDeviation, sumMarginals.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4.3 Datenfluss-Architektur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In app.js werden zwei parallele Berechnungen durchgeführt: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logOddsContributions</w:t>
      </w:r>
      <w:r>
        <w:rPr>
          <w:rFonts w:ascii="Arial" w:cs="Arial" w:eastAsia="Arial" w:hAnsi="Arial"/>
          <w:sz w:val="22"/>
          <w:szCs w:val="22"/>
        </w:rPr>
        <w:t xml:space="preserve"> (beibehalten): Für renderHeatmapPointer() und renderTreatmentRecommendations().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marginalSummary</w:t>
      </w:r>
      <w:r>
        <w:rPr>
          <w:rFonts w:ascii="Arial" w:cs="Arial" w:eastAsia="Arial" w:hAnsi="Arial"/>
          <w:sz w:val="22"/>
          <w:szCs w:val="22"/>
        </w:rPr>
        <w:t xml:space="preserve"> (neu): Für renderContributionChart() (vollständiges Objekt) und renderTreatmentOverview() (nur .contributions).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Diese Trennung stellt sicher, dass keine bestehende Funktionalität beeinträchtigt wird. Die Heatmap nutzt weiterhin Log-Odds-Werte, da sie im 2D-Raum auf Log-Odds-Skalen basiert.</w:t>
      </w:r>
    </w:p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5. Neue Barchart-Visualisierung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5.1 Darstellungsänderungen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53"/>
        <w:gridCol w:w="375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Vorher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Nachher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Wert-Anzeige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„42%“ (normalisierter Log-Odds-Anteil)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„+4.2%“ (marginaler Wahrscheinlichkeitsbeitrag)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Vorzeichen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Keine Vorzeichen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+/− zeigt Richtung der Riskoänderung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Summe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Immer genau 100%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P_full − P_baseline (ehrlich)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Summary-Banner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Nicht vorhanden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risk: XX.X% (Population average: X.X%)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Tooltip-Texte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„increases risk by 42%“ (irreführend)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Kontrafaktisch: „If your X were average, your risk would be Y% lower“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Treatment-Werte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„28% risk contribution“ (ohne Vorzeichen)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„+3.7% risk contribution compared to average“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Legende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„% of total contribution“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„% of risk change“</w:t>
            </w:r>
          </w:p>
        </w:tc>
      </w:tr>
    </w:tbl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5.2 Summary-Banner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Oberhalb der Balken zeigt ein dezenter Banner den Gesamtkontext: „Your risk: 18.5% (Population average: 12.9%) / Net deviation: +5.6% vs. average“. Der Patient sieht so zuerst das Gesamtbild, bevor er die einzelnen Faktorbeiträge liest.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5.3 Filter-Verhalten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Da keine 100%-Normalisierung mehr stattfindet,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bleiben die Werte nach dem Filtern mathematisch korrekt</w:t>
      </w:r>
      <w:r>
        <w:rPr>
          <w:rFonts w:ascii="Arial" w:cs="Arial" w:eastAsia="Arial" w:hAnsi="Arial"/>
          <w:sz w:val="22"/>
          <w:szCs w:val="22"/>
        </w:rPr>
        <w:t xml:space="preserve">. Problem 4 ist vollständig gelöst.</w:t>
      </w:r>
    </w:p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6. Validierungsergebnisse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6.1 Mathematiker-Agent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400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Prüfpunkt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Ergebnis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computeBaselineRisk() korrekt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9 Faktoren + Intercept korrekt verwendet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computeMarginalContributions() korrekt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Δᵢ = P_full − P_ohne_i exakt implementiert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computeMarginalSummary() korrekt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netDeviation und sumMarginals korrekt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Vorzeichenkorrektheit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 β + x&gt;μ → Δ&gt;0; Negative β + x&gt;μ → Δ&lt;0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Case: xᵢ = μᵢ für alle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Δᵢ = 0, pFull = pBaseline</w:t>
            </w:r>
          </w:p>
        </w:tc>
      </w:tr>
    </w:tbl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6.2 UX-Agent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400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Prüfpunkt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Ergebnis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Konsistente %-Verwendung (kein pp)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Anzeigen nutzen % statt pp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+/− Vorzeichen korrekt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Barchart und Treatment Overview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Summary-Banner vorhanden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Risiko vs. Durchschnitt + Net Deviation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Tooltip-Texte patientenfreundlich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Kontrafaktisches Framing implementiert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Legende aktualisiert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„% of risk change“</w:t>
            </w:r>
          </w:p>
        </w:tc>
      </w:tr>
    </w:tbl>
    <w:p>
      <w:pPr>
        <w:pStyle w:val="Heading2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6.3 Eigene Code-Validierung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risk-model.js:</w:t>
      </w:r>
      <w:r>
        <w:rPr>
          <w:rFonts w:ascii="Arial" w:cs="Arial" w:eastAsia="Arial" w:hAnsi="Arial"/>
          <w:sz w:val="22"/>
          <w:szCs w:val="22"/>
        </w:rPr>
        <w:t xml:space="preserve"> 3 neue Funktionen korrekt implementiert. Bestehende Funktionen unverändert. Alle Exporte vorhanden.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ui-controller.js:</w:t>
      </w:r>
      <w:r>
        <w:rPr>
          <w:rFonts w:ascii="Arial" w:cs="Arial" w:eastAsia="Arial" w:hAnsi="Arial"/>
          <w:sz w:val="22"/>
          <w:szCs w:val="22"/>
        </w:rPr>
        <w:t xml:space="preserve"> renderContributionChart() akzeptiert summaryData-Objekt. renderTreatmentOverview() akzeptiert dritten Parameter marginalContributions. Heatmap unberührt.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app.js:</w:t>
      </w:r>
      <w:r>
        <w:rPr>
          <w:rFonts w:ascii="Arial" w:cs="Arial" w:eastAsia="Arial" w:hAnsi="Arial"/>
          <w:sz w:val="22"/>
          <w:szCs w:val="22"/>
        </w:rPr>
        <w:t xml:space="preserve"> calculate() und onToggleUnits() berechnen beide logOddsContributions + marginalSummary. Korrekte Datentrennung zwischen Heatmap (Log-Odds) und Barchart/Treatments (MPC).</w:t>
      </w:r>
    </w:p>
    <w:p>
      <w:r>
        <w:br w:type="page"/>
      </w:r>
    </w:p>
    <w:p>
      <w:pPr>
        <w:pStyle w:val="Heading1"/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7. Warum die neue Lösung besser 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53"/>
        <w:gridCol w:w="35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Kriterium</w:t>
            </w:r>
          </w:p>
        </w:tc>
        <w:tc>
          <w:tcPr>
            <w:tcW w:type="dxa" w:w="3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 (Log-Odds-Norm.)</w:t>
            </w:r>
          </w:p>
        </w:tc>
        <w:tc>
          <w:tcPr>
            <w:tcW w:type="dxa" w:w="3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Neu (Marginal Probability)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Interpretationsraum</w:t>
            </w:r>
          </w:p>
        </w:tc>
        <w:tc>
          <w:tcPr>
            <w:tcW w:type="dxa" w:w="3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Abstrakte Log-Odds-Anteile</w:t>
            </w:r>
          </w:p>
        </w:tc>
        <w:tc>
          <w:tcPr>
            <w:tcW w:type="dxa" w:w="3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Direkte Wahrscheinlichkeitsänderung in 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Ehrlichkeit</w:t>
            </w:r>
          </w:p>
        </w:tc>
        <w:tc>
          <w:tcPr>
            <w:tcW w:type="dxa" w:w="3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Erzwingt 100%, versteckt Nichtlinearität</w:t>
            </w:r>
          </w:p>
        </w:tc>
        <w:tc>
          <w:tcPr>
            <w:tcW w:type="dxa" w:w="3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Summe ≈ Netto-Abweichung, transparent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Magnitude-Kontext</w:t>
            </w:r>
          </w:p>
        </w:tc>
        <w:tc>
          <w:tcPr>
            <w:tcW w:type="dxa" w:w="3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Geht verloren</w:t>
            </w:r>
          </w:p>
        </w:tc>
        <w:tc>
          <w:tcPr>
            <w:tcW w:type="dxa" w:w="3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+0.3% vs. +11.9% sofort erkennbar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Filter-Korrektheit</w:t>
            </w:r>
          </w:p>
        </w:tc>
        <w:tc>
          <w:tcPr>
            <w:tcW w:type="dxa" w:w="3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Inkonsistent</w:t>
            </w:r>
          </w:p>
        </w:tc>
        <w:tc>
          <w:tcPr>
            <w:tcW w:type="dxa" w:w="3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Korrekt – keine Normalisierung nötig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Klinische Nutzbarkeit</w:t>
            </w:r>
          </w:p>
        </w:tc>
        <w:tc>
          <w:tcPr>
            <w:tcW w:type="dxa" w:w="3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„42% vom Risiko“ – unklar</w:t>
            </w:r>
          </w:p>
        </w:tc>
        <w:tc>
          <w:tcPr>
            <w:tcW w:type="dxa" w:w="3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„+4.2% Risiko“ – handlungsrelevant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EID-Konformität</w:t>
            </w:r>
          </w:p>
        </w:tc>
        <w:tc>
          <w:tcPr>
            <w:tcW w:type="dxa" w:w="3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Verletzt direct perception</w:t>
            </w:r>
          </w:p>
        </w:tc>
        <w:tc>
          <w:tcPr>
            <w:tcW w:type="dxa" w:w="35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Unterstützt korrektes mentales Modell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Der Barchart zeigt jetzt das, was er vorgibt zu zeigen: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den tatsächlichen Beitrag jedes Faktors zum Diabetesrisiko, gemessen in der Einheit, die der Patient versteht.</w:t>
      </w:r>
      <w:r>
        <w:rPr>
          <w:rFonts w:ascii="Arial" w:cs="Arial" w:eastAsia="Arial" w:hAnsi="Arial"/>
          <w:sz w:val="22"/>
          <w:szCs w:val="22"/>
        </w:rPr>
        <w:t xml:space="preserve"> Dies entspricht dem EID-Prinzip der „direct perception“ (Vicente, 1999).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Marco Haeckel – Masterarbeit – Seite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Implementierungsbericht: Marginal Probability Contributions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5A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2026-03-22T15:24:27.115Z</dcterms:created>
  <dcterms:modified xsi:type="dcterms:W3CDTF">2026-03-22T15:24:27.116Z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