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STSong"/>
          <w:sz w:val="21"/>
        </w:rPr>
        <w:t>审稿意见逐条回复稿</w:t>
      </w:r>
    </w:p>
    <w:p>
      <w:r>
        <w:rPr>
          <w:rFonts w:ascii="Times New Roman" w:hAnsi="Times New Roman" w:cs="Times New Roman" w:eastAsia="STSong"/>
          <w:sz w:val="21"/>
        </w:rPr>
        <w:t>本文修订围绕“场景条件化非平稳时序分解-路由机制（Regime-aware Mixture Routing, RAMR）”重新组织方法叙事与实验验证。所有铁路主实验均基于项目内真实数据 `data/from_nj.csv` 与 `data/to_nj.csv`，即南京南站到其他站点、其他站点到南京南站的双向日粒度客流。实验采用严格时间顺序划分，`RobustScaler` 仅在训练集拟合；checkpoint、集成权重与尺度校准均由验证集确定，测试集仅用于最终一次评估。</w:t>
      </w:r>
    </w:p>
    <w:p>
      <w:pPr>
        <w:pStyle w:val="Heading2"/>
      </w:pPr>
      <w:r>
        <w:rPr>
          <w:rFonts w:ascii="Times New Roman" w:hAnsi="Times New Roman" w:cs="Times New Roman" w:eastAsia="STSong"/>
          <w:sz w:val="21"/>
        </w:rPr>
        <w:t>专家意见1</w:t>
      </w:r>
    </w:p>
    <w:p>
      <w:pPr>
        <w:pStyle w:val="Heading3"/>
      </w:pPr>
      <w:r>
        <w:rPr>
          <w:rFonts w:ascii="Times New Roman" w:hAnsi="Times New Roman" w:cs="Times New Roman" w:eastAsia="STSong"/>
          <w:sz w:val="21"/>
        </w:rPr>
        <w:t>1. 统计特征能否解释突发事件、极端天气等不确定因素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sz w:val="21"/>
        </w:rPr>
        <w:t xml:space="preserve"> 仅依靠均值、标准差、最大值等统计特征，是否能够分析突发事件、极端天气等不确定因素？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sz w:val="21"/>
        </w:rPr>
        <w:t xml:space="preserve"> 已在论文中明确修正该表述。修订稿不再声称统计特征能够识别突发事件或极端天气的外部成因，而是将原“统计特征专家”重新定义为 **Robust Distribution Shift Expert（分布偏移专家）**。该专家使用回看窗口内的分位数结构、robust z-score、quantile skewness、peak-to-average ratio 和 volatility index 等特征，刻画已经反映在客流序列中的窗口级分布偏移。由于当前数据集不包含连续可对齐的天气、活动、运营管制等外生标签，本文将其定位为“分布扰动代理建模”，而非事件因果识别。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sz w:val="21"/>
        </w:rPr>
        <w:t xml:space="preserve"> 方法部分“分布偏移专家”、特征工程部分、结论边界说明。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sz w:val="21"/>
        </w:rPr>
        <w:t xml:space="preserve"> 固定消融复核显示，`distribution quantile` 单 checkpoint 在当前数据上取得 MAPE=19.0447%、MSE=0.035678、MAE=0.136987，是统计特征集合中最强的单模型结果；robust 特征主要提供分布扰动解释和与其他 checkpoint 的互补性。证据文件见 `docs/experiments/固定消融套件复核_20260701.md`。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sz w:val="21"/>
        </w:rPr>
        <w:t>2. 数据集介绍需增加表格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sz w:val="21"/>
        </w:rPr>
        <w:t xml:space="preserve"> 建议在 2.1 数据集介绍中增加表格，列出数据集具体内容、表头和部分数据。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sz w:val="21"/>
        </w:rPr>
        <w:t xml:space="preserve"> 已在论文 2.1 节新增数据字段说明表和样例数据表。表格说明 `passenger flow`、`time/date`、`weekday`、`holiday`、`weekend/workday adjustment`、`trend/regime statistics` 等字段含义，并给出脱敏样例行，明确数据来自 `from_nj.csv` 与 `to_nj.csv` 的内连接结果。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sz w:val="21"/>
        </w:rPr>
        <w:t xml:space="preserve"> 2.1 数据集介绍，Word 表0、表1。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sz w:val="21"/>
        </w:rPr>
        <w:t xml:space="preserve"> `docs/experiments/数据真实性与实验口径核验_20260630.md` 记录了数据形状、缺失值、重复日期和 SHA256：`from_nj.csv` 为 `c4f8919ce83c4c677d772036ed42fb5e76c99507f3368e2d32f081b556df4ae7`，`to_nj.csv` 为 `d16b3becfc12ed22a576741a505080e9dc279d4ab54d8c8ef597b729efb3c41e`。</w:t>
      </w:r>
    </w:p>
    <w:p>
      <w:pPr>
        <w:pStyle w:val="Heading3"/>
      </w:pPr>
      <w:r>
        <w:rPr>
          <w:rFonts w:ascii="Times New Roman" w:hAnsi="Times New Roman" w:cs="Times New Roman" w:eastAsia="STSong"/>
          <w:sz w:val="21"/>
        </w:rPr>
        <w:t>3. 缺少特征工程说明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sz w:val="21"/>
        </w:rPr>
        <w:t xml:space="preserve"> 论文构建三种专家框架，但未说明特征工程及特征选取依据。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sz w:val="21"/>
        </w:rPr>
        <w:t xml:space="preserve"> 已新增“multi-view feature decomposition”特征工程说明。修订稿将输入特征分为三类：历史客流窗口、日历场景向量、窗口级分布偏移特征。三类特征分别服务于短期依赖专家、长期依赖专家、分布偏移专家和场景条件化门控网络，特征工程与专家分工保持一致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sz w:val="21"/>
        </w:rPr>
        <w:t xml:space="preserve"> 2.1 数据预处理与特征工程、表2 特征工程说明表。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sz w:val="21"/>
        </w:rPr>
        <w:t xml:space="preserve"> 固定消融复核中，移除日历场景门控后测试 MAPE 从 21.6706% 退化至 23.3886%，MSE 从 0.046175 退化至 0.052137，MAE 从 0.156578 退化至 0.171826，说明日历场景特征对路由有效。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sz w:val="21"/>
        </w:rPr>
        <w:t>4. 短期专家权重低的问题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sz w:val="21"/>
        </w:rPr>
        <w:t xml:space="preserve"> 2.7.2 节中短期专家权重在三种场景中均最低，需解释原因。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sz w:val="21"/>
        </w:rPr>
        <w:t xml:space="preserve"> 已重新核验专家输出顺序并重算门控权重。旧稿存在专家列顺序解释不一致的问题。当前模型实际专家顺序为 `ShortTerm / LongTerm / DistributionShift`。重算后，工作日短期专家权重为 0.5927，并非最低；周末分布偏移专家权重升至 0.5793，说明非工作日需求结构迁移会触发分布偏移建模。当前严格时间顺序测试窗口无节假日样本，因此修订稿不再报告节假日显著性。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sz w:val="21"/>
        </w:rPr>
        <w:t xml:space="preserve"> 2.7.2 日历场景下的门控权重统计，表4、表5、图3。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sz w:val="21"/>
        </w:rPr>
        <w:t xml:space="preserve"> Welch t 检验显示，周末分布偏移专家权重显著高于工作日（0.5793 vs. 0.3228，t=4.9757，p=2.42e-06）。证据文件见 `docs/experiments/门控机制统计重算_20260701.md`。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sz w:val="21"/>
        </w:rPr>
        <w:t>5. Traffic 跨粒度泛化实验跨度较大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sz w:val="21"/>
        </w:rPr>
        <w:t xml:space="preserve"> 日粒度铁路客流迁移到小时级高速公路流量跨度较大，需要重构时间窗口、周期特征和外部扰动特征。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sz w:val="21"/>
        </w:rPr>
        <w:t xml:space="preserve"> 已重写 2.8 节，将过强跨域结论降级为“跨时间粒度结构鲁棒性初步验证”。修订稿明确说明：Traffic 小时级实验不是直接复用铁路日粒度配置，而是在保持专家分解结构的前提下重构小时级输入窗口、小时/星期周期编码和窗口扰动代理。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sz w:val="21"/>
        </w:rPr>
        <w:t xml:space="preserve"> 2.8 泛化性实验、结论。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边界说明：</w:t>
      </w:r>
      <w:r>
        <w:rPr>
          <w:rFonts w:ascii="Times New Roman" w:hAnsi="Times New Roman" w:cs="Times New Roman" w:eastAsia="STSong"/>
          <w:sz w:val="21"/>
        </w:rPr>
        <w:t xml:space="preserve"> 当前工作区没有可直接复现实验的 Traffic 原始数据文件，因此现有 Traffic 数值仅作为既有四步长平均记录和图表常量，不作为当前仓库从原始数据重新训练复现的证据。该边界已写入 `docs/experiments/Traffic跨粒度证据边界_20260701.md`。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sz w:val="21"/>
        </w:rPr>
        <w:t>6. 摘要尽量不要出现公式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sz w:val="21"/>
        </w:rPr>
        <w:t xml:space="preserve"> 摘要中不宜出现公式。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sz w:val="21"/>
        </w:rPr>
        <w:t xml:space="preserve"> 已删除摘要中的公式化表达，改为文字描述“趋势、周期和残差扰动交织的多尺度非平稳特征”，并用自然语言描述场景条件化非平稳分解-路由机制。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sz w:val="21"/>
        </w:rPr>
        <w:t xml:space="preserve"> 中文摘要、英文摘要。</w:t>
      </w:r>
    </w:p>
    <w:p>
      <w:pPr>
        <w:pStyle w:val="Heading3"/>
      </w:pPr>
      <w:r>
        <w:rPr>
          <w:rFonts w:ascii="Times New Roman" w:hAnsi="Times New Roman" w:cs="Times New Roman" w:eastAsia="STSong"/>
          <w:sz w:val="21"/>
        </w:rPr>
        <w:t>7. VAR 表现差，建议重跑或更换对比方法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sz w:val="21"/>
        </w:rPr>
        <w:t xml:space="preserve"> 2.5 节 VAR 表现较差，不能体现对比效果，建议重新预测或更换方法。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sz w:val="21"/>
        </w:rPr>
        <w:t xml:space="preserve"> 已在主对比中弱化 VAR 作为核心基线的作用，并补充 DLinear、PatchTST、iTransformer、TimeMixer、FreEformer 等现代强基线。修订稿解释 VAR 在 20 维客流变量、846 个有效日期和强非平稳节假日/周末扰动条件下需要估计较多参数，误差偏大更多反映模型设定与样本规模不匹配。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sz w:val="21"/>
        </w:rPr>
        <w:t xml:space="preserve"> 2.5 预测结果对比分析、现代强基线表。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sz w:val="21"/>
        </w:rPr>
        <w:t xml:space="preserve"> Strict RAMR-VE 在铁路主数据集上取得 MAPE=18.5463%、MSE=0.035640、MAE=0.138028，三项指标均优于 DLinear、PatchTST、iTransformer、TimeMixer 和 FreEformer。</w:t>
      </w:r>
    </w:p>
    <w:p>
      <w:pPr>
        <w:pStyle w:val="Heading3"/>
      </w:pPr>
      <w:r>
        <w:rPr>
          <w:rFonts w:ascii="Times New Roman" w:hAnsi="Times New Roman" w:cs="Times New Roman" w:eastAsia="STSong"/>
          <w:sz w:val="21"/>
        </w:rPr>
        <w:t>8. 英文字体不统一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sz w:val="21"/>
        </w:rPr>
        <w:t xml:space="preserve"> 文章英文字体没有统一，需按期刊要求修改格式。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sz w:val="21"/>
        </w:rPr>
        <w:t xml:space="preserve"> 已对 Word 全文段落与表格进行字体统一。当前审计显示 660 个非空 run 均为英文 Times New Roman、中文东亚字体 STSong。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sz w:val="21"/>
        </w:rPr>
        <w:t xml:space="preserve"> Word 全文。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sz w:val="21"/>
        </w:rPr>
        <w:t xml:space="preserve"> `docs/experiments/Word格式与表格一致性审计_20260701.md`。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sz w:val="21"/>
        </w:rPr>
        <w:t>9. 图4第一张图不清晰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sz w:val="21"/>
        </w:rPr>
        <w:t xml:space="preserve"> 图4第一张站点客流序列右侧不清楚，建议单独绘图。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sz w:val="21"/>
        </w:rPr>
        <w:t xml:space="preserve"> 已将图4相关叙事拆分为站点客流序列、STL 分解分量、专家门控权重和波动率-短期专家权重关系，并在 Word 稿中调整图文说明，避免依赖单张拥挤图解释机制。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sz w:val="21"/>
        </w:rPr>
        <w:t xml:space="preserve"> 2.7.3、2.7.4 图3、图4及对应文字。</w:t>
      </w:r>
    </w:p>
    <w:p>
      <w:pPr>
        <w:pStyle w:val="Heading3"/>
      </w:pPr>
      <w:r>
        <w:rPr>
          <w:rFonts w:ascii="Times New Roman" w:hAnsi="Times New Roman" w:cs="Times New Roman" w:eastAsia="STSong"/>
          <w:sz w:val="21"/>
        </w:rPr>
        <w:t>10. `St`、`Tt`、`Rt` 下标不规范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sz w:val="21"/>
        </w:rPr>
        <w:t xml:space="preserve"> 2.5 节的 `St`、`Tt`、`Rt` 未写下标。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sz w:val="21"/>
        </w:rPr>
        <w:t xml:space="preserve"> 已统一为 `Sₜ`、`Tₜ`、`Rₜ` 或 LaTeX 花括号下标形式。Word 审计未发现 `S_t`、`T_t`、`R_t` 等 ASCII 下标写法。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sz w:val="21"/>
        </w:rPr>
        <w:t xml:space="preserve"> 摘要、引言、方法部分、机制分析部分。</w:t>
      </w:r>
    </w:p>
    <w:p>
      <w:pPr>
        <w:pStyle w:val="Heading2"/>
      </w:pPr>
      <w:r>
        <w:rPr>
          <w:rFonts w:ascii="Times New Roman" w:hAnsi="Times New Roman" w:cs="Times New Roman" w:eastAsia="STSong"/>
          <w:sz w:val="21"/>
        </w:rPr>
        <w:t>专家意见2</w:t>
      </w:r>
    </w:p>
    <w:p>
      <w:pPr>
        <w:pStyle w:val="Heading3"/>
      </w:pPr>
      <w:r>
        <w:rPr>
          <w:rFonts w:ascii="Times New Roman" w:hAnsi="Times New Roman" w:cs="Times New Roman" w:eastAsia="STSong"/>
          <w:sz w:val="21"/>
        </w:rPr>
        <w:t>1. 创新性不足，像已有模块组合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sz w:val="21"/>
        </w:rPr>
        <w:t xml:space="preserve"> MoE、GRU、Transformer 均为成熟技术，论文像是已有模块组合应用。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sz w:val="21"/>
        </w:rPr>
        <w:t xml:space="preserve"> 已将论文主贡献从“多专家融合模型”重写为“场景条件化非平稳时序分解-路由机制”。修订稿强调创新点不在于简单叠加 GRU、Transformer 与 MLP，而在于将铁路客流“趋势—周期—扰动”生成机制转化为专家分工先验，并通过日历场景与窗口级 regime encoding 显式条件化专家路由。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sz w:val="21"/>
        </w:rPr>
        <w:t xml:space="preserve"> 摘要、引言贡献、方法总述、模型结构图说明。</w:t>
      </w:r>
    </w:p>
    <w:p>
      <w:r>
        <w:rPr>
          <w:rFonts w:ascii="Times New Roman" w:hAnsi="Times New Roman" w:cs="Times New Roman" w:eastAsia="STSong"/>
          <w:b/>
          <w:sz w:val="21"/>
        </w:rPr>
        <w:t>核心表述：</w:t>
      </w:r>
      <w:r>
        <w:rPr>
          <w:rFonts w:ascii="Times New Roman" w:hAnsi="Times New Roman" w:cs="Times New Roman" w:eastAsia="STSong"/>
          <w:sz w:val="21"/>
        </w:rPr>
        <w:t xml:space="preserve"> “We introduce a regime-aware routing mechanism that explicitly aligns latent temporal regimes with expert specialization.”</w:t>
      </w:r>
    </w:p>
    <w:p>
      <w:pPr>
        <w:pStyle w:val="Heading3"/>
      </w:pPr>
      <w:r>
        <w:rPr>
          <w:rFonts w:ascii="Times New Roman" w:hAnsi="Times New Roman" w:cs="Times New Roman" w:eastAsia="STSong"/>
          <w:sz w:val="21"/>
        </w:rPr>
        <w:t>2. 需与 PatchTST、TimeMixer、iTransformer、FreEformer 等新方法对比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sz w:val="21"/>
        </w:rPr>
        <w:t xml:space="preserve"> 原对比方法较早，需加入更新技术。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sz w:val="21"/>
        </w:rPr>
        <w:t xml:space="preserve"> 已补充 DLinear、PatchTST、iTransformer、TimeMixer、FreEformer 五个现代强基线，并在铁路主数据集上使用相同时间顺序划分重新训练评估。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sz w:val="21"/>
        </w:rPr>
        <w:t xml:space="preserve"> 2.5 预测结果对比分析，现代强基线表。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sz w:val="21"/>
        </w:rPr>
        <w:t xml:space="preserve"> 现代强基线中 FreEformer 最强，MAPE=20.1540%、MSE=0.040026、MAE=0.148139；Strict RAMR-VE 为 MAPE=18.5463%、MSE=0.035640、MAE=0.138028，三项均更优。</w:t>
      </w:r>
    </w:p>
    <w:p>
      <w:pPr>
        <w:pStyle w:val="Heading3"/>
      </w:pPr>
      <w:r>
        <w:rPr>
          <w:rFonts w:ascii="Times New Roman" w:hAnsi="Times New Roman" w:cs="Times New Roman" w:eastAsia="STSong"/>
          <w:sz w:val="21"/>
        </w:rPr>
        <w:t>3. MSE 好但 MAE 一般，跨域泛化结论不充分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sz w:val="21"/>
        </w:rPr>
        <w:t xml:space="preserve"> 模型未在所有主要指标取得一致优势，不能直接得出过强跨域结论。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sz w:val="21"/>
        </w:rPr>
        <w:t xml:space="preserve"> 已新增 MAE-aware 训练和 Strict RAMR-VE 严格无泄露验证集集成。最终 Strict RAMR-VE 在测试集上取得 MAPE=18.5463%、MSE=0.035640、MAE=0.138028，相比原 MoE-Rail 的 19.41%、0.037700、0.144000 三项指标均改善。论文同时删除过强跨域表述，将 Traffic 结果限定为结构鲁棒性初步验证。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sz w:val="21"/>
        </w:rPr>
        <w:t xml:space="preserve"> 2.5 主结果、2.8 Traffic 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不确定性披露：</w:t>
      </w:r>
      <w:r>
        <w:rPr>
          <w:rFonts w:ascii="Times New Roman" w:hAnsi="Times New Roman" w:cs="Times New Roman" w:eastAsia="STSong"/>
          <w:sz w:val="21"/>
        </w:rPr>
        <w:t xml:space="preserve"> 固定配方 2000 次日期级 bootstrap 中，测试集 MAPE/MSE/MAE 95% CI 分别为 [16.8796, 20.3743]、[0.028133, 0.043991]、[0.125860, 0.151379]；三项同时低于原 MoE-Rail 阈值的比例为 63.15%。因此论文写为“点估计三指标均优且重采样稳定性较高”，不写成任意重采样都显著占优。</w:t>
      </w:r>
    </w:p>
    <w:p>
      <w:pPr>
        <w:pStyle w:val="Heading3"/>
      </w:pPr>
      <w:r>
        <w:rPr>
          <w:rFonts w:ascii="Times New Roman" w:hAnsi="Times New Roman" w:cs="Times New Roman" w:eastAsia="STSong"/>
          <w:sz w:val="21"/>
        </w:rPr>
        <w:t>4. 消融实验建议增加日历特征输入、负载均衡约束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sz w:val="21"/>
        </w:rPr>
        <w:t xml:space="preserve"> 建议增加日历特征输入、负载均衡约束等消融验证。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sz w:val="21"/>
        </w:rPr>
        <w:t xml:space="preserve"> 已新增固定 checkpoint 消融套件，覆盖 scene gating、regime routing、负载均衡形式和分布偏移特征集合。所有 checkpoint 均为验证集保存结果，测试集仅最终评估一次。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sz w:val="21"/>
        </w:rPr>
        <w:t xml:space="preserve"> 2.6 消融实验新增段落，Word 表5。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sz w:val="21"/>
        </w:rPr>
        <w:t xml:space="preserve"> 完整单 checkpoint 为 MAPE=21.6706%、MSE=0.046175、MAE=0.156578；移除 scene gating 后退化为 23.3886%、0.052137、0.171826；移除 regime routing 后退化为 22.9143%、0.044304、0.160740；方差负载均衡为 21.7700%、0.046378、0.158459。该结果支持日历场景输入与 regime routing 对专家路由有效。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sz w:val="21"/>
        </w:rPr>
        <w:t>5. 文字表达不清晰：日粒度预测不应强调日内高频、早晚高峰；负载均衡称谓不一致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sz w:val="21"/>
        </w:rPr>
        <w:t xml:space="preserve"> 论文是日粒度铁路客流预测，不宜强调日内高频波动、早晚高峰；负载均衡前文称为熵正则，但公式似乎为均匀分布惩罚。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sz w:val="21"/>
        </w:rPr>
        <w:t xml:space="preserve"> 已将相关表述统一改为“相邻日期局部波动”“跨周周期”“周末转换”“窗口级分布偏移”等日粒度语义，不再使用日内高频和早晚高峰表述。负载均衡部分统一命名为“高熵负载均衡约束”，并说明训练目标最小化 `sum(p log p)` 等价于最大化批次平均专家使用熵；方差型负载约束仅作为消融对照。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sz w:val="21"/>
        </w:rPr>
        <w:t xml:space="preserve"> 方法部分训练目标、2.7 机制分析、结论。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sz w:val="21"/>
        </w:rPr>
        <w:t xml:space="preserve"> Word 格式审计未发现日内高频、早晚高峰等旧表述。</w:t>
      </w:r>
    </w:p>
    <w:p>
      <w:pPr>
        <w:pStyle w:val="Heading2"/>
      </w:pPr>
      <w:r>
        <w:rPr>
          <w:rFonts w:ascii="Times New Roman" w:hAnsi="Times New Roman" w:cs="Times New Roman" w:eastAsia="STSong"/>
          <w:sz w:val="21"/>
        </w:rPr>
        <w:t>总体修订结论</w:t>
      </w:r>
    </w:p>
    <w:p>
      <w:r>
        <w:rPr>
          <w:rFonts w:ascii="Times New Roman" w:hAnsi="Times New Roman" w:cs="Times New Roman" w:eastAsia="STSong"/>
          <w:sz w:val="21"/>
        </w:rPr>
        <w:t>修订后论文形成以下闭环：</w:t>
      </w:r>
    </w:p>
    <w:p>
      <w:r>
        <w:rPr>
          <w:rFonts w:ascii="Times New Roman" w:hAnsi="Times New Roman" w:cs="Times New Roman" w:eastAsia="STSong"/>
          <w:sz w:val="21"/>
        </w:rPr>
        <w:t>1. 方法叙事从工程式 MoE 组合升级为场景条件化非平稳分解-路由机制。</w:t>
      </w:r>
    </w:p>
    <w:p>
      <w:r>
        <w:rPr>
          <w:rFonts w:ascii="Times New Roman" w:hAnsi="Times New Roman" w:cs="Times New Roman" w:eastAsia="STSong"/>
          <w:sz w:val="21"/>
        </w:rPr>
        <w:t>2. 数据、特征工程、消融、门控统计、现代强基线和无泄露验证集集成均已补充证据。</w:t>
      </w:r>
    </w:p>
    <w:p>
      <w:r>
        <w:rPr>
          <w:rFonts w:ascii="Times New Roman" w:hAnsi="Times New Roman" w:cs="Times New Roman" w:eastAsia="STSong"/>
          <w:sz w:val="21"/>
        </w:rPr>
        <w:t>3. 主数据集最终结果为 MAPE=18.5463%、MSE=0.035640、MAE=0.138028，三项指标均优于原 MoE-Rail 与新增现代强基线。</w:t>
      </w:r>
    </w:p>
    <w:p>
      <w:r>
        <w:rPr>
          <w:rFonts w:ascii="Times New Roman" w:hAnsi="Times New Roman" w:cs="Times New Roman" w:eastAsia="STSong"/>
          <w:sz w:val="21"/>
        </w:rPr>
        <w:t>4. 对统计特征、Traffic 跨粒度实验和泛化结论均保留必要边界，不将分布偏移代理写成事件因果识别，也不将单一 Traffic 结果写成稳定跨域泛化证明。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STSong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STSong"/>
      <w:sz w:val="21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cs="Times New Roman" w:eastAsia="STSong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STSong"/>
      <w:sz w:val="21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STSong"/>
      <w:sz w:val="21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STSong"/>
      <w:sz w:val="21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STSong"/>
      <w:sz w:val="21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STSong"/>
      <w:sz w:val="21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STSong"/>
      <w:sz w:val="21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STSong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STSong"/>
      <w:b/>
      <w:bCs/>
      <w:sz w:val="21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STSong"/>
      <w:i/>
      <w:iCs/>
      <w:sz w:val="2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STSong"/>
      <w:i/>
      <w:iCs/>
      <w:color w:val="808080" w:themeColor="text1" w:themeTint="7F"/>
      <w:sz w:val="21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STSong"/>
      <w:smallCaps/>
      <w:color w:val="C0504D" w:themeColor="accent2"/>
      <w:sz w:val="21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STSong"/>
      <w:b/>
      <w:bCs/>
      <w:smallCaps/>
      <w:color w:val="C0504D" w:themeColor="accent2"/>
      <w:spacing w:val="5"/>
      <w:sz w:val="21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STSong"/>
      <w:b/>
      <w:bCs/>
      <w:smallCaps/>
      <w:spacing w:val="5"/>
      <w:sz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STSong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000000" w:themeColor="text1" w:themeShade="BF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65F91" w:themeColor="accent1" w:themeShade="BF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943634" w:themeColor="accent2" w:themeShade="BF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76923C" w:themeColor="accent3" w:themeShade="BF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5F497A" w:themeColor="accent4" w:themeShade="BF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1849B" w:themeColor="accent5" w:themeShade="BF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E36C0A" w:themeColor="accent6" w:themeShade="BF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