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宋体"/>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宋体"/>
          <w:sz w:val="21"/>
          <w:szCs w:val="32"/>
          <w:highlight w:val="none"/>
        </w:rPr>
        <w:t>魏涛涛</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 xml:space="preserve"> </w:t>
      </w:r>
      <w:r>
        <w:rPr>
          <w:rFonts w:ascii="Times New Roman" w:hAnsi="Times New Roman" w:eastAsia="宋体"/>
          <w:sz w:val="21"/>
          <w:szCs w:val="32"/>
          <w:highlight w:val="none"/>
        </w:rPr>
        <w:t>黄婵妮</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vertAlign w:val="superscript"/>
        </w:rPr>
        <w:t xml:space="preserve">  </w:t>
      </w:r>
      <w:r>
        <w:rPr>
          <w:rFonts w:ascii="Times New Roman" w:hAnsi="Times New Roman" w:eastAsia="宋体"/>
          <w:sz w:val="21"/>
          <w:szCs w:val="32"/>
          <w:highlight w:val="none"/>
        </w:rPr>
        <w:t>冯翔</w:t>
      </w:r>
      <w:r>
        <w:rPr>
          <w:rFonts w:ascii="Times New Roman" w:hAnsi="Times New Roman" w:eastAsia="宋体"/>
          <w:sz w:val="21"/>
          <w:szCs w:val="28"/>
          <w:highlight w:val="none"/>
          <w:vertAlign w:val="superscript"/>
        </w:rPr>
        <w:t>1,2</w:t>
      </w:r>
      <w:r>
        <w:rPr>
          <w:rFonts w:ascii="Times New Roman" w:hAnsi="Times New Roman" w:eastAsia="宋体"/>
          <w:sz w:val="21"/>
          <w:szCs w:val="32"/>
          <w:highlight w:val="none"/>
        </w:rPr>
        <w:t>吕又冉</w:t>
      </w:r>
      <w:r>
        <w:rPr>
          <w:rFonts w:ascii="Times New Roman" w:hAnsi="Times New Roman" w:eastAsia="宋体"/>
          <w:sz w:val="21"/>
          <w:szCs w:val="28"/>
          <w:highlight w:val="none"/>
          <w:vertAlign w:val="superscript"/>
        </w:rPr>
        <w:t>1,2</w:t>
      </w:r>
      <w:r>
        <w:rPr>
          <w:rFonts w:hint="eastAsia" w:ascii="Times New Roman" w:hAnsi="Times New Roman" w:eastAsia="宋体"/>
          <w:sz w:val="21"/>
          <w:szCs w:val="32"/>
          <w:highlight w:val="none"/>
          <w:lang w:val="en-US" w:eastAsia="zh-CN"/>
        </w:rPr>
        <w:t>金一</w:t>
      </w:r>
      <w:r>
        <w:rPr>
          <w:rFonts w:hint="eastAsia" w:ascii="Times New Roman" w:hAnsi="Times New Roman" w:eastAsia="宋体"/>
          <w:sz w:val="21"/>
          <w:szCs w:val="28"/>
          <w:highlight w:val="none"/>
          <w:vertAlign w:val="superscript"/>
          <w:lang w:val="en-US" w:eastAsia="zh-CN"/>
        </w:rPr>
        <w:t>5</w:t>
      </w:r>
      <w:r>
        <w:rPr>
          <w:rFonts w:hint="eastAsia" w:ascii="Times New Roman" w:hAnsi="Times New Roman" w:eastAsia="宋体"/>
          <w:sz w:val="21"/>
          <w:szCs w:val="28"/>
          <w:highlight w:val="none"/>
          <w:lang w:val="en-US" w:eastAsia="zh-CN"/>
        </w:rPr>
        <w:t xml:space="preserve"> </w:t>
      </w:r>
      <w:r>
        <w:rPr>
          <w:rFonts w:hint="eastAsia" w:ascii="Times New Roman" w:hAnsi="Times New Roman" w:eastAsia="宋体"/>
          <w:sz w:val="21"/>
          <w:szCs w:val="32"/>
          <w:highlight w:val="none"/>
          <w:lang w:val="en-US" w:eastAsia="zh-CN"/>
        </w:rPr>
        <w:t>李</w:t>
      </w:r>
      <w:r>
        <w:rPr>
          <w:rFonts w:ascii="Times New Roman" w:hAnsi="Times New Roman" w:eastAsia="宋体"/>
          <w:sz w:val="21"/>
          <w:szCs w:val="32"/>
          <w:highlight w:val="none"/>
        </w:rPr>
        <w:t>兵</w:t>
      </w:r>
      <w:r>
        <w:rPr>
          <w:rFonts w:hint="eastAsia" w:ascii="Times New Roman" w:hAnsi="Times New Roman" w:eastAsia="宋体"/>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宋体"/>
          <w:sz w:val="21"/>
          <w:szCs w:val="18"/>
          <w:highlight w:val="none"/>
        </w:rPr>
        <w:t>江苏省铁路集团有限公司</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，南京，210012；2. 江苏省智能与绿色铁路工程研究中心</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 中</w:t>
      </w:r>
      <w:r>
        <w:rPr>
          <w:rFonts w:hint="eastAsia" w:ascii="Times New Roman" w:hAnsi="Times New Roman" w:eastAsia="宋体"/>
          <w:sz w:val="21"/>
          <w:szCs w:val="18"/>
          <w:highlight w:val="none"/>
        </w:rPr>
        <w:t>国</w:t>
      </w:r>
      <w:r>
        <w:rPr>
          <w:rFonts w:ascii="Times New Roman" w:hAnsi="Times New Roman" w:eastAsia="宋体"/>
          <w:sz w:val="21"/>
          <w:szCs w:val="18"/>
          <w:highlight w:val="none"/>
        </w:rPr>
        <w:t>科</w:t>
      </w:r>
      <w:r>
        <w:rPr>
          <w:rFonts w:hint="eastAsia" w:ascii="Times New Roman" w:hAnsi="Times New Roman" w:eastAsia="宋体"/>
          <w:sz w:val="21"/>
          <w:szCs w:val="18"/>
          <w:highlight w:val="none"/>
        </w:rPr>
        <w:t>学</w:t>
      </w:r>
      <w:r>
        <w:rPr>
          <w:rFonts w:ascii="Times New Roman" w:hAnsi="Times New Roman" w:eastAsia="宋体"/>
          <w:sz w:val="21"/>
          <w:szCs w:val="18"/>
          <w:highlight w:val="none"/>
        </w:rPr>
        <w:t>院自动化研究所，北京，100190；</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 北京联合大学，北京，100101；</w:t>
      </w:r>
      <w:r>
        <w:rPr>
          <w:rFonts w:hint="eastAsia" w:ascii="Times New Roman" w:hAnsi="Times New Roman" w:eastAsia="宋体"/>
          <w:sz w:val="21"/>
          <w:szCs w:val="18"/>
          <w:highlight w:val="none"/>
        </w:rPr>
        <w:t>5</w:t>
      </w:r>
      <w:r>
        <w:rPr>
          <w:rFonts w:ascii="Times New Roman" w:hAnsi="Times New Roman" w:eastAsia="宋体"/>
          <w:sz w:val="21"/>
          <w:szCs w:val="18"/>
          <w:highlight w:val="none"/>
        </w:rPr>
        <w:t xml:space="preserve">. </w:t>
      </w:r>
      <w:r>
        <w:rPr>
          <w:rFonts w:hint="eastAsia" w:ascii="Times New Roman" w:hAnsi="Times New Roman" w:eastAsia="宋体"/>
          <w:sz w:val="21"/>
          <w:szCs w:val="18"/>
          <w:highlight w:val="none"/>
          <w:lang w:val="en-US" w:eastAsia="zh-CN"/>
        </w:rPr>
        <w:t>北京交通大学</w:t>
      </w:r>
      <w:r>
        <w:rPr>
          <w:rFonts w:ascii="Times New Roman" w:hAnsi="Times New Roman" w:eastAsia="宋体"/>
          <w:sz w:val="21"/>
          <w:szCs w:val="18"/>
          <w:highlight w:val="none"/>
        </w:rPr>
        <w:t>，北京</w:t>
      </w:r>
      <w:r>
        <w:rPr>
          <w:rFonts w:hint="eastAsia" w:ascii="Times New Roman" w:hAnsi="Times New Roman" w:eastAsia="宋体"/>
          <w:sz w:val="21"/>
          <w:szCs w:val="18"/>
          <w:highlight w:val="none"/>
          <w:lang w:val="en-US" w:eastAsia="zh-CN"/>
        </w:rPr>
        <w:t>，100044</w:t>
      </w:r>
      <w:r>
        <w:rPr>
          <w:rFonts w:ascii="Times New Roman" w:hAnsi="Times New Roman" w:eastAsia="宋体"/>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宋体"/>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宋体"/>
          <w:sz w:val="21"/>
        </w:rPr>
        <w:t>高精度铁路客流预测对客运组织、运力配置与智能调度具有重要意义。铁路客流序列受跨城市出行、节假日和临时扰动影响，呈现趋势、周期和残差扰动交织的多尺度非平稳特征，单一模型难以同时兼顾常规周期与非常规波动。本文提出场景条件化非平稳分解-路由机制MoE-Rail/RAMR：以时序分解思想作为专家分工先验，构建短期依赖、长期依赖与分布偏移专家，并通过日历场景与窗口级非平稳状态共同条件化门控网络，实现自适应路由。为避免测试集泄露，本文采用严格时间顺序实验协议，仅在训练集拟合归一化器，在验证集确定checkpoint、集成权重与尺度校准参数，测试集仅用于最终一次评估。南京南站双向日粒度客流实验表明，Strict RAMR-VE取得18.55%的MAPE、0.035640的MSE和0.138028的MAE，三项指标均优于原MoE-Rail结果及新增现代强基线；机制分析进一步表明，场景条件与regime条件有助于提升专家路由的稳定性和可解释性。</w:t>
      </w:r>
    </w:p>
    <w:p w14:paraId="61246D5F">
      <w:pPr>
        <w:spacing w:before="0" w:after="0" w:line="360" w:lineRule="auto"/>
        <w:ind w:left="425" w:right="425" w:firstLine="0"/>
        <w:jc w:val="both"/>
        <w:rPr>
          <w:rFonts w:ascii="黑体" w:eastAsia="黑体"/>
          <w:bCs/>
          <w:highlight w:val="none"/>
        </w:rPr>
      </w:pPr>
      <w:r>
        <w:rPr>
          <w:rFonts w:ascii="Times New Roman" w:hAnsi="Times New Roman" w:eastAsia="宋体"/>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宋体"/>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宋体"/>
          <w:i/>
          <w:iCs/>
          <w:sz w:val="21"/>
          <w:szCs w:val="28"/>
          <w:highlight w:val="none"/>
        </w:rPr>
        <w:t>W</w:t>
      </w:r>
      <w:r>
        <w:rPr>
          <w:rFonts w:hint="eastAsia" w:ascii="Times New Roman" w:hAnsi="Times New Roman" w:eastAsia="宋体"/>
          <w:i/>
          <w:iCs/>
          <w:sz w:val="21"/>
          <w:szCs w:val="28"/>
          <w:highlight w:val="none"/>
        </w:rPr>
        <w:t xml:space="preserve">EI </w:t>
      </w:r>
      <w:r>
        <w:rPr>
          <w:rFonts w:ascii="Times New Roman" w:hAnsi="Times New Roman" w:eastAsia="宋体"/>
          <w:i/>
          <w:iCs/>
          <w:sz w:val="21"/>
          <w:szCs w:val="28"/>
          <w:highlight w:val="none"/>
        </w:rPr>
        <w:t>Weitao</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H</w:t>
      </w:r>
      <w:r>
        <w:rPr>
          <w:rFonts w:hint="eastAsia" w:ascii="Times New Roman" w:hAnsi="Times New Roman" w:eastAsia="宋体"/>
          <w:i/>
          <w:iCs/>
          <w:sz w:val="21"/>
          <w:szCs w:val="28"/>
          <w:highlight w:val="none"/>
        </w:rPr>
        <w:t>UANG</w:t>
      </w:r>
      <w:r>
        <w:rPr>
          <w:rFonts w:ascii="Times New Roman" w:hAnsi="Times New Roman" w:eastAsia="宋体"/>
          <w:i/>
          <w:iCs/>
          <w:sz w:val="21"/>
          <w:szCs w:val="28"/>
          <w:highlight w:val="none"/>
        </w:rPr>
        <w:t xml:space="preserve"> Channi</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rPr>
        <w:t>，</w:t>
      </w:r>
      <w:r>
        <w:rPr>
          <w:rFonts w:ascii="Times New Roman" w:hAnsi="Times New Roman" w:eastAsia="宋体"/>
          <w:i/>
          <w:iCs/>
          <w:sz w:val="21"/>
          <w:szCs w:val="28"/>
          <w:highlight w:val="none"/>
        </w:rPr>
        <w:t>F</w:t>
      </w:r>
      <w:r>
        <w:rPr>
          <w:rFonts w:hint="eastAsia" w:ascii="Times New Roman" w:hAnsi="Times New Roman" w:eastAsia="宋体"/>
          <w:i/>
          <w:iCs/>
          <w:sz w:val="21"/>
          <w:szCs w:val="28"/>
          <w:highlight w:val="none"/>
        </w:rPr>
        <w:t xml:space="preserve">ENG </w:t>
      </w:r>
      <w:r>
        <w:rPr>
          <w:rFonts w:ascii="Times New Roman" w:hAnsi="Times New Roman" w:eastAsia="宋体"/>
          <w:i/>
          <w:iCs/>
          <w:sz w:val="21"/>
          <w:szCs w:val="28"/>
          <w:highlight w:val="none"/>
        </w:rPr>
        <w:t>Xiang</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V </w:t>
      </w:r>
      <w:r>
        <w:rPr>
          <w:rFonts w:ascii="Times New Roman" w:hAnsi="Times New Roman" w:eastAsia="宋体"/>
          <w:i/>
          <w:iCs/>
          <w:sz w:val="21"/>
          <w:szCs w:val="28"/>
          <w:highlight w:val="none"/>
        </w:rPr>
        <w:t>Youran</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w:t>
      </w:r>
      <w:r>
        <w:rPr>
          <w:rFonts w:hint="eastAsia" w:ascii="Times New Roman" w:hAnsi="Times New Roman" w:eastAsia="宋体"/>
          <w:i/>
          <w:iCs/>
          <w:sz w:val="21"/>
          <w:szCs w:val="28"/>
          <w:highlight w:val="none"/>
        </w:rPr>
        <w:t xml:space="preserve">Jin Yi </w:t>
      </w:r>
      <w:r>
        <w:rPr>
          <w:rFonts w:hint="eastAsia" w:ascii="Times New Roman" w:hAnsi="Times New Roman" w:eastAsia="宋体"/>
          <w:sz w:val="21"/>
          <w:szCs w:val="28"/>
          <w:highlight w:val="none"/>
          <w:vertAlign w:val="superscript"/>
          <w:lang w:val="en-US" w:eastAsia="zh-CN"/>
        </w:rPr>
        <w:t>5</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I </w:t>
      </w:r>
      <w:r>
        <w:rPr>
          <w:rFonts w:ascii="Times New Roman" w:hAnsi="Times New Roman" w:eastAsia="宋体"/>
          <w:i/>
          <w:iCs/>
          <w:sz w:val="21"/>
          <w:szCs w:val="28"/>
          <w:highlight w:val="none"/>
        </w:rPr>
        <w:t>Bing</w:t>
      </w:r>
      <w:r>
        <w:rPr>
          <w:rFonts w:hint="eastAsia" w:ascii="Times New Roman" w:hAnsi="Times New Roman" w:eastAsia="宋体"/>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宋体"/>
          <w:sz w:val="21"/>
          <w:szCs w:val="18"/>
          <w:highlight w:val="none"/>
        </w:rPr>
        <w:t>Jiangsu Railway Group Co., Ltd.,</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Nanjing,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China; 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Jiangsu Province Engineering Research Center of Intelligent and Green Railway,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 xml:space="preserve">China; </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Institute of Automation</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Chinese Academy of Sciences,</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100190,</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 Union University,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100101, BeiJing;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5.</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Beijing Jiaotong University,</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100044, Beijing</w:t>
      </w:r>
      <w:r>
        <w:rPr>
          <w:rFonts w:ascii="Times New Roman" w:hAnsi="Times New Roman" w:eastAsia="宋体"/>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宋体"/>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MoE-Rail/RAMR, a scenario-conditioned non-stationary decomposition and routing mechanism. The method uses temporal decomposition as an inductive bias for expert specialization, constructs short-term, long-term, and distribution-shift experts, and conditions the gating network on both calendar scenarios and window-level non-stationary regimes. To avoid test-set leakage, the scaler is fitted only on the training set; checkpoints, ensemble weights, and calibration scale are selected on the validation set; and the test set is evaluated only once after the final configuration is fixed. On the bidirectional daily passenger flow dataset of Nanjing South Railway Station, Strict RAMR-VE achieves 18.55% MAPE, 0.035640 MSE, and 0.138028 MAE, outperforming the original MoE-Rail result and modern strong baselines. Mechanism analyses further show that scenario conditioning and regime-aware routing improve the stability and interpretability of expert allocation.</w:t>
      </w:r>
    </w:p>
    <w:p w14:paraId="53161FB6">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宋体"/>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宋体"/>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宋体"/>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宋体"/>
          <w:sz w:val="21"/>
        </w:rPr>
        <w:t>尽管如此，单一深度网络仍难以在统一参数空间内兼顾相邻日期局部波动与中长期周期演化，铁路客流在非平稳、多模式叠加下更易出现多尺度优化冲突。从生成机制看，日粒度序列可近似理解为长期趋势Sₜ、周期节律T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宋体"/>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r>
        <w:rPr>
          <w:rFonts w:ascii="Times New Roman" w:hAnsi="Times New Roman" w:eastAsia="宋体"/>
          <w:sz w:val="21"/>
        </w:rPr>
        <w:t>本文的主要贡献体现在以下四个方面：（1）提出场景条件化非平稳分解-路由机制，将铁路客流的趋势、周期和扰动结构转化为专家空间中的可学习归纳偏置；（2）设计Regime Encoder，将窗口级波动率、趋势强度和周期强度编码为regime embedding，显式建立distribution regime到expert routing的映射；（3）将统计专家重新定义为Robust Distribution Shift Expert，通过鲁棒z-score、分位偏态、峰均比和局部波动率刻画稀有扰动下的分布偏移，同时明确其不替代外部事件因果识别；（4）基于南京南站双向日粒度客流数据，补充现代强基线、场景/路由/负载均衡消融和门控可解释性分析，验证所提机制的有效性与适用边界。</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宋体"/>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宋体"/>
          <w:b w:val="0"/>
          <w:i w:val="0"/>
          <w:sz w:val="21"/>
          <w:szCs w:val="21"/>
          <w:highlight w:val="none"/>
        </w:rPr>
        <w:t xml:space="preserve">  </w:t>
      </w:r>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宋体"/>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宋体"/>
          <w:b w:val="0"/>
          <w:i w:val="0"/>
          <w:sz w:val="21"/>
          <w:szCs w:val="21"/>
          <w:highlight w:val="none"/>
        </w:rPr>
        <w:t>，其中x</w:t>
      </w:r>
      <w:r>
        <w:rPr>
          <w:rFonts w:ascii="Times New Roman" w:hAnsi="Times New Roman" w:eastAsia="宋体"/>
          <w:b w:val="0"/>
          <w:i w:val="0"/>
          <w:sz w:val="21"/>
          <w:szCs w:val="21"/>
          <w:highlight w:val="none"/>
          <w:vertAlign w:val="superscript"/>
        </w:rPr>
        <w:t>τ</w:t>
      </w:r>
      <w:r>
        <w:rPr>
          <w:rFonts w:ascii="Times New Roman" w:hAnsi="Times New Roman" w:eastAsia="宋体"/>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输入X为三维张量[B, L, D]：B为批次大小，</w:t>
      </w:r>
      <w:r>
        <w:rPr>
          <w:rFonts w:hint="eastAsia" w:ascii="Times New Roman" w:hAnsi="Times New Roman" w:eastAsia="宋体"/>
          <w:b w:val="0"/>
          <w:i w:val="0"/>
          <w:sz w:val="21"/>
          <w:szCs w:val="21"/>
          <w:highlight w:val="none"/>
          <w:lang w:val="en-US" w:eastAsia="zh-CN"/>
        </w:rPr>
        <w:t>L</w:t>
      </w:r>
      <w:r>
        <w:rPr>
          <w:rFonts w:ascii="Times New Roman" w:hAnsi="Times New Roman" w:eastAsia="宋体"/>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宋体"/>
          <w:b w:val="0"/>
          <w:i w:val="0"/>
          <w:sz w:val="21"/>
          <w:szCs w:val="21"/>
          <w:highlight w:val="none"/>
        </w:rPr>
        <w:t>星期、月份等周期模式，以及节假日、调休等日历标志</w:t>
      </w:r>
      <w:r>
        <w:rPr>
          <w:rFonts w:ascii="Times New Roman" w:hAnsi="Times New Roman" w:eastAsia="宋体"/>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宋体"/>
          <w:sz w:val="21"/>
        </w:rPr>
        <w:t>日粒度铁路客流序列可近似理解为长期趋势Sₜ、周期节律Tₜ与随机扰动Rₜ的叠加。本文不对序列进行显式在线分解，而是将短期依赖专家、长期依赖专家与分布偏移专家分别作为与Sₜ、Tₜ、Rₜ相对应的可学习建模模块，通过门控实现条件混合。</w:t>
      </w:r>
    </w:p>
    <w:p w14:paraId="30CBA1AB">
      <w:pPr>
        <w:rPr>
          <w:rFonts w:hint="default"/>
          <w:szCs w:val="21"/>
          <w:highlight w:val="none"/>
        </w:rPr>
      </w:pPr>
      <w:r>
        <w:rPr>
          <w:rFonts w:ascii="Times New Roman" w:hAnsi="Times New Roman" w:eastAsia="宋体"/>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宋体"/>
          <w:b w:val="0"/>
          <w:i w:val="0"/>
          <w:sz w:val="21"/>
          <w:szCs w:val="21"/>
          <w:highlight w:val="none"/>
        </w:rPr>
        <w:t>：</w:t>
      </w:r>
      <w:r>
        <w:rPr>
          <w:rFonts w:ascii="Times New Roman" w:hAnsi="Times New Roman" w:eastAsia="宋体"/>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宋体"/>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宋体"/>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宋体"/>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在实际铁路运输场景中，客流序列在</w:t>
      </w:r>
      <w:r>
        <w:rPr>
          <w:rFonts w:hint="default" w:ascii="Times New Roman" w:hAnsi="Times New Roman" w:eastAsia="宋体"/>
          <w:b w:val="0"/>
          <w:i w:val="0"/>
          <w:sz w:val="21"/>
          <w:szCs w:val="21"/>
          <w:highlight w:val="none"/>
        </w:rPr>
        <w:t>日尺度及相邻时段</w:t>
      </w:r>
      <w:r>
        <w:rPr>
          <w:rFonts w:ascii="Times New Roman" w:hAnsi="Times New Roman" w:eastAsia="宋体"/>
          <w:b w:val="0"/>
          <w:i w:val="0"/>
          <w:sz w:val="21"/>
          <w:szCs w:val="21"/>
          <w:highlight w:val="none"/>
        </w:rPr>
        <w:t>常呈现出显著的高频动态波动特征。例如，通勤出行、列车集中到发以及站内换乘行为等因素，均可能导致客流在相邻时间步之间产生剧烈变化。这类局部快速演化模式具有明显的短时依赖性，使得传统仅关注长期趋势的预测模型难以准确刻画瞬时客流波动，从而影响预测精度。</w:t>
      </w:r>
    </w:p>
    <w:p w14:paraId="1746E9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为有效建模上述短</w:t>
      </w:r>
      <w:r>
        <w:rPr>
          <w:rFonts w:hint="eastAsia" w:ascii="Times New Roman" w:hAnsi="Times New Roman" w:eastAsia="宋体" w:cs="宋体"/>
          <w:b w:val="0"/>
          <w:i w:val="0"/>
          <w:iCs w:val="0"/>
          <w:caps w:val="0"/>
          <w:color w:val="000000"/>
          <w:spacing w:val="0"/>
          <w:sz w:val="21"/>
          <w:szCs w:val="21"/>
          <w:highlight w:val="none"/>
          <w:shd w:val="clear" w:fill="FFFFFF"/>
        </w:rPr>
        <w:t>时动态特征，本文引入短期依赖专家模块，</w:t>
      </w:r>
      <w:r>
        <w:rPr>
          <w:rFonts w:hint="default" w:ascii="Times New Roman" w:hAnsi="Times New Roman" w:eastAsia="宋体" w:cs="宋体"/>
          <w:b w:val="0"/>
          <w:i w:val="0"/>
          <w:iCs w:val="0"/>
          <w:caps w:val="0"/>
          <w:color w:val="000000"/>
          <w:spacing w:val="0"/>
          <w:sz w:val="21"/>
          <w:szCs w:val="21"/>
          <w:highlight w:val="none"/>
          <w:shd w:val="clear" w:fill="FFFFFF"/>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cs="宋体"/>
          <w:b w:val="0"/>
          <w:i w:val="0"/>
          <w:iCs w:val="0"/>
          <w:caps w:val="0"/>
          <w:color w:val="000000"/>
          <w:spacing w:val="0"/>
          <w:sz w:val="21"/>
          <w:szCs w:val="21"/>
          <w:highlight w:val="none"/>
          <w:shd w:val="clear" w:fill="FFFFFF"/>
        </w:rPr>
        <w:t>相关的周期节律与短中程时序依赖。</w:t>
      </w:r>
      <w:r>
        <w:rPr>
          <w:rFonts w:hint="eastAsia" w:ascii="Times New Roman" w:hAnsi="Times New Roman" w:eastAsia="宋体" w:cs="宋体"/>
          <w:b w:val="0"/>
          <w:i w:val="0"/>
          <w:iCs w:val="0"/>
          <w:caps w:val="0"/>
          <w:color w:val="000000"/>
          <w:spacing w:val="0"/>
          <w:sz w:val="21"/>
          <w:szCs w:val="21"/>
          <w:highlight w:val="none"/>
          <w:shd w:val="clear" w:fill="FFFFFF"/>
        </w:rPr>
        <w:t>短期依赖专家采用3层GRU结构，对输入窗口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宋体" w:cs="宋体"/>
          <w:b w:val="0"/>
          <w:i w:val="0"/>
          <w:iCs w:val="0"/>
          <w:caps w:val="0"/>
          <w:color w:val="000000"/>
          <w:spacing w:val="0"/>
          <w:sz w:val="21"/>
          <w:szCs w:val="21"/>
          <w:highlight w:val="none"/>
          <w:shd w:val="clear" w:fill="FFFFFF"/>
        </w:rPr>
        <w:t>逐步递推，过程为：</w:t>
      </w:r>
    </w:p>
    <w:p w14:paraId="1677032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w:r>
        <w:rPr>
          <w:rFonts w:hint="eastAsia" w:ascii="Times New Roman" w:hAnsi="Times New Roman" w:eastAsia="宋体"/>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w:t>
      </w:r>
      <w:r>
        <w:rPr>
          <w:rFonts w:hint="default" w:ascii="Times New Roman" w:hAnsi="Times New Roman" w:eastAsia="宋体" w:cs="Times New Roman"/>
          <w:b w:val="0"/>
          <w:i w:val="0"/>
          <w:iCs w:val="0"/>
          <w:caps w:val="0"/>
          <w:color w:val="000000"/>
          <w:spacing w:val="0"/>
          <w:sz w:val="21"/>
          <w:szCs w:val="20"/>
          <w:highlight w:val="none"/>
          <w:shd w:val="clear" w:fill="FFFFFF"/>
        </w:rPr>
        <w:t>τ</w:t>
      </w:r>
      <w:r>
        <w:rPr>
          <w:rFonts w:ascii="Times New Roman" w:hAnsi="Times New Roman" w:eastAsia="宋体"/>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宋体"/>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宋体"/>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宋体"/>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宋体"/>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宋体"/>
          <w:b w:val="0"/>
          <w:i w:val="0"/>
          <w:sz w:val="21"/>
          <w:highlight w:val="none"/>
        </w:rPr>
        <w:t>为此，本文进一步构建长期依赖专家模块</w:t>
      </w:r>
      <w:r>
        <w:rPr>
          <w:rFonts w:hint="default" w:ascii="Times New Roman" w:hAnsi="Times New Roman" w:eastAsia="宋体"/>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highlight w:val="none"/>
          <w:lang w:val="en-US" w:eastAsia="zh-CN"/>
        </w:rPr>
        <w:t>相关的长期趋势与跨周、跨月长程依赖。</w:t>
      </w:r>
      <w:r>
        <w:rPr>
          <w:rFonts w:ascii="Times New Roman" w:hAnsi="Times New Roman" w:eastAsia="宋体"/>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宋体" w:cs="宋体"/>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宋体"/>
          <w:b w:val="0"/>
          <w:i w:val="0"/>
          <w:sz w:val="21"/>
          <w:szCs w:val="21"/>
          <w:highlight w:val="none"/>
          <w:lang w:val="en-US" w:eastAsia="zh-CN"/>
        </w:rPr>
        <w:t>为</w:t>
      </w:r>
      <w:r>
        <w:rPr>
          <w:rFonts w:ascii="Times New Roman" w:hAnsi="Times New Roman" w:eastAsia="宋体"/>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宋体"/>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宋体"/>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宋体"/>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宋体"/>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宋体"/>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宋体"/>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宋体"/>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8</w:t>
      </w:r>
      <w:r>
        <w:rPr>
          <w:rFonts w:ascii="Times New Roman" w:hAnsi="Times New Roman" w:eastAsia="宋体"/>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宋体"/>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宋体"/>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宋体"/>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宋体"/>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9</w:t>
      </w:r>
      <w:r>
        <w:rPr>
          <w:rFonts w:ascii="Times New Roman" w:hAnsi="Times New Roman" w:eastAsia="宋体"/>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0</w:t>
      </w:r>
      <w:r>
        <w:rPr>
          <w:rFonts w:ascii="Times New Roman" w:hAnsi="Times New Roman" w:eastAsia="宋体"/>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1</w:t>
      </w:r>
      <w:r>
        <w:rPr>
          <w:rFonts w:ascii="Times New Roman" w:hAnsi="Times New Roman" w:eastAsia="宋体"/>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宋体"/>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宋体"/>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宋体"/>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宋体"/>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2</w:t>
      </w:r>
      <w:r>
        <w:rPr>
          <w:rFonts w:ascii="Times New Roman" w:hAnsi="Times New Roman" w:eastAsia="宋体"/>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宋体"/>
          <w:sz w:val="21"/>
        </w:rPr>
        <w:t>其中，表示模型的最终预测输出，为第k个专家网络对输入序列给出的预测结果，为分配给第k个专家的权重系数，K为专家网络总数。该机制整合短期依赖专家（局部周期与短程依赖）、长期依赖专家（跨周/跨月趋势）、分布偏移专家（窗口级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宋体"/>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w:t>
      </w:r>
      <m:oMath>
        <m:r>
          <m:rPr/>
          <w:rPr>
            <w:rFonts w:ascii="Cambria Math"/>
            <w:szCs w:val="21"/>
            <w:highlight w:val="none"/>
          </w:rPr>
          <m:t>λ</m:t>
        </m:r>
      </m:oMath>
      <w:r>
        <w:rPr>
          <w:rFonts w:ascii="Times New Roman" w:hAnsi="Times New Roman" w:eastAsia="宋体"/>
          <w:b w:val="0"/>
          <w:i w:val="0"/>
          <w:sz w:val="21"/>
          <w:szCs w:val="21"/>
          <w:highlight w:val="none"/>
        </w:rPr>
        <w:t>为平衡系数，则</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3</w:t>
      </w:r>
      <w:r>
        <w:rPr>
          <w:rFonts w:ascii="Times New Roman" w:hAnsi="Times New Roman" w:eastAsia="宋体"/>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4</w:t>
      </w:r>
      <w:r>
        <w:rPr>
          <w:rFonts w:ascii="Times New Roman" w:hAnsi="Times New Roman" w:eastAsia="宋体"/>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sty m:val="p"/>
          </m:rPr>
          <w:rPr>
            <w:rFonts w:ascii="Cambria Math" w:hAnsi="Cambria Math"/>
            <w:highlight w:val="none"/>
          </w:rPr>
          <m:t>B</m:t>
        </m:r>
      </m:oMath>
      <w:r>
        <w:rPr>
          <w:rFonts w:ascii="Times New Roman" w:hAnsi="Times New Roman" w:eastAsia="宋体"/>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宋体"/>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宋体"/>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宋体"/>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为第i个样本分配给第k个专家的权重系数，对批次内样本取平均可得第k个专家的平均权重：</w:t>
      </w:r>
      <w:r>
        <w:rPr>
          <w:rFonts w:hint="eastAsia" w:ascii="Times New Roman" w:hAnsi="Times New Roman" w:eastAsia="宋体"/>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5</w:t>
      </w:r>
      <w:r>
        <w:rPr>
          <w:rFonts w:ascii="Times New Roman" w:hAnsi="Times New Roman" w:eastAsia="宋体"/>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负载均衡损失由平均权重的方差项与偏离均匀分布的惩罚项共同构成：</w:t>
      </w:r>
    </w:p>
    <w:p w14:paraId="15E435A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6</w:t>
      </w:r>
      <w:r>
        <w:rPr>
          <w:rFonts w:ascii="Times New Roman" w:hAnsi="Times New Roman" w:eastAsia="宋体"/>
          <w:b w:val="0"/>
          <w:i w:val="0"/>
          <w:sz w:val="21"/>
          <w:szCs w:val="21"/>
          <w:highlight w:val="none"/>
        </w:rPr>
        <w:t>)</w:t>
      </w:r>
    </w:p>
    <w:p w14:paraId="6EEAD24E">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为各专家在当前批次上的平均权重向量，</w:t>
      </w:r>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w:r>
        <w:rPr>
          <w:rFonts w:ascii="Times New Roman" w:hAnsi="Times New Roman" w:eastAsia="宋体"/>
          <w:b w:val="0"/>
          <w:i w:val="0"/>
          <w:sz w:val="21"/>
          <w:szCs w:val="21"/>
          <w:highlight w:val="none"/>
        </w:rPr>
        <w:t>表示对该向量</w:t>
      </w:r>
      <w:r>
        <w:rPr>
          <w:rFonts w:hint="eastAsia" w:ascii="Times New Roman" w:hAnsi="Times New Roman" w:eastAsia="宋体"/>
          <w:b w:val="0"/>
          <w:i w:val="0"/>
          <w:sz w:val="21"/>
          <w:szCs w:val="21"/>
          <w:highlight w:val="none"/>
          <w:lang w:val="en-US" w:eastAsia="zh-CN"/>
        </w:rPr>
        <w:t>各分量</w:t>
      </w:r>
      <w:r>
        <w:rPr>
          <w:rFonts w:ascii="Times New Roman" w:hAnsi="Times New Roman" w:eastAsia="宋体"/>
          <w:b w:val="0"/>
          <w:i w:val="0"/>
          <w:sz w:val="21"/>
          <w:szCs w:val="21"/>
          <w:highlight w:val="none"/>
        </w:rPr>
        <w:t>的方差计算。</w:t>
      </w:r>
      <w:r>
        <w:rPr>
          <w:rFonts w:ascii="Times New Roman" w:hAnsi="Times New Roman" w:eastAsia="宋体" w:cs="Segoe UI"/>
          <w:b w:val="0"/>
          <w:i w:val="0"/>
          <w:iCs w:val="0"/>
          <w:caps w:val="0"/>
          <w:color w:val="000000"/>
          <w:spacing w:val="0"/>
          <w:sz w:val="21"/>
          <w:szCs w:val="21"/>
          <w:highlight w:val="none"/>
          <w:shd w:val="clear" w:fill="FFFFFF"/>
        </w:rPr>
        <w:t>第二项用于惩罚各专家负载</w:t>
      </w:r>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hint="default" w:ascii="Times New Roman" w:hAnsi="Times New Roman" w:eastAsia="宋体" w:cs="Segoe UI"/>
          <w:b w:val="0"/>
          <w:i w:val="0"/>
          <w:iCs w:val="0"/>
          <w:caps w:val="0"/>
          <w:color w:val="000000"/>
          <w:spacing w:val="0"/>
          <w:sz w:val="21"/>
          <w:szCs w:val="21"/>
          <w:highlight w:val="none"/>
          <w:shd w:val="clear" w:fill="FFFFFF"/>
        </w:rPr>
        <w:t>偏离均匀水平</w:t>
      </w:r>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hint="default" w:ascii="Times New Roman" w:hAnsi="Times New Roman" w:eastAsia="宋体" w:cs="Segoe UI"/>
          <w:b w:val="0"/>
          <w:i w:val="0"/>
          <w:iCs w:val="0"/>
          <w:caps w:val="0"/>
          <w:color w:val="000000"/>
          <w:spacing w:val="0"/>
          <w:sz w:val="21"/>
          <w:szCs w:val="21"/>
          <w:highlight w:val="none"/>
          <w:shd w:val="clear" w:fill="FFFFFF"/>
        </w:rPr>
        <w:t>的程度，</w:t>
      </w:r>
      <w:r>
        <w:rPr>
          <w:rFonts w:hint="default" w:ascii="Times New Roman" w:hAnsi="Times New Roman" w:eastAsia="宋体" w:cs="Times New Roman"/>
          <w:b w:val="0"/>
          <w:i w:val="0"/>
          <w:caps w:val="0"/>
          <w:color w:val="000000"/>
          <w:spacing w:val="0"/>
          <w:sz w:val="21"/>
          <w:szCs w:val="25"/>
          <w:highlight w:val="none"/>
          <w:shd w:val="clear" w:fill="FFFFFF"/>
        </w:rPr>
        <w:t>K=3</w:t>
      </w:r>
      <w:r>
        <w:rPr>
          <w:rFonts w:hint="default" w:ascii="Times New Roman" w:hAnsi="Times New Roman" w:eastAsia="宋体" w:cs="Segoe UI"/>
          <w:b w:val="0"/>
          <w:i w:val="0"/>
          <w:iCs w:val="0"/>
          <w:caps w:val="0"/>
          <w:color w:val="000000"/>
          <w:spacing w:val="0"/>
          <w:sz w:val="21"/>
          <w:szCs w:val="21"/>
          <w:highlight w:val="none"/>
          <w:shd w:val="clear" w:fill="FFFFFF"/>
        </w:rPr>
        <w:t>。</w:t>
      </w:r>
      <w:r>
        <w:rPr>
          <w:rFonts w:ascii="Times New Roman" w:hAnsi="Times New Roman" w:eastAsia="宋体"/>
          <w:b w:val="0"/>
          <w:i w:val="0"/>
          <w:sz w:val="21"/>
          <w:szCs w:val="21"/>
          <w:highlight w:val="none"/>
        </w:rPr>
        <w:t>该损失项鼓励各专家权重接近均匀分布，抑制权重波动过大，从而提升专家利用的均衡性。</w:t>
      </w:r>
    </w:p>
    <w:p w14:paraId="4192F29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由此，所构建的</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宋体"/>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宋体"/>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宋体"/>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宋体"/>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宋体"/>
                <w:b/>
                <w:sz w:val="17"/>
              </w:rPr>
              <w:t>Feature</w:t>
            </w:r>
          </w:p>
        </w:tc>
        <w:tc>
          <w:tcPr>
            <w:tcW w:type="dxa" w:w="3009"/>
            <w:vAlign w:val="center"/>
          </w:tcPr>
          <w:p>
            <w:pPr>
              <w:jc w:val="center"/>
            </w:pPr>
            <w:r>
              <w:rPr>
                <w:rFonts w:ascii="Times New Roman" w:hAnsi="Times New Roman" w:eastAsia="宋体"/>
                <w:b/>
                <w:sz w:val="17"/>
              </w:rPr>
              <w:t>Type</w:t>
            </w:r>
          </w:p>
        </w:tc>
        <w:tc>
          <w:tcPr>
            <w:tcW w:type="dxa" w:w="3009"/>
            <w:vAlign w:val="center"/>
          </w:tcPr>
          <w:p>
            <w:pPr>
              <w:jc w:val="center"/>
            </w:pPr>
            <w:r>
              <w:rPr>
                <w:rFonts w:ascii="Times New Roman" w:hAnsi="Times New Roman" w:eastAsia="宋体"/>
                <w:b/>
                <w:sz w:val="17"/>
              </w:rPr>
              <w:t>Description</w:t>
            </w:r>
          </w:p>
        </w:tc>
      </w:tr>
      <w:tr>
        <w:tc>
          <w:tcPr>
            <w:tcW w:type="dxa" w:w="3009"/>
            <w:vAlign w:val="center"/>
          </w:tcPr>
          <w:p>
            <w:pPr>
              <w:jc w:val="center"/>
            </w:pPr>
            <w:r>
              <w:rPr>
                <w:rFonts w:ascii="Times New Roman" w:hAnsi="Times New Roman" w:eastAsia="宋体"/>
                <w:sz w:val="17"/>
              </w:rPr>
              <w:t>passenger flow</w:t>
            </w:r>
          </w:p>
        </w:tc>
        <w:tc>
          <w:tcPr>
            <w:tcW w:type="dxa" w:w="3009"/>
            <w:vAlign w:val="center"/>
          </w:tcPr>
          <w:p>
            <w:pPr>
              <w:jc w:val="center"/>
            </w:pPr>
            <w:r>
              <w:rPr>
                <w:rFonts w:ascii="Times New Roman" w:hAnsi="Times New Roman" w:eastAsia="宋体"/>
                <w:sz w:val="17"/>
              </w:rPr>
              <w:t>target/continuous</w:t>
            </w:r>
          </w:p>
        </w:tc>
        <w:tc>
          <w:tcPr>
            <w:tcW w:type="dxa" w:w="3009"/>
            <w:vAlign w:val="center"/>
          </w:tcPr>
          <w:p>
            <w:pPr>
              <w:jc w:val="center"/>
            </w:pPr>
            <w:r>
              <w:rPr>
                <w:rFonts w:ascii="Times New Roman" w:hAnsi="Times New Roman" w:eastAsia="宋体"/>
                <w:sz w:val="17"/>
              </w:rPr>
              <w:t>站点-方向级日客流，包含枢纽至方向站点from与方向站点至枢纽to</w:t>
            </w:r>
          </w:p>
        </w:tc>
      </w:tr>
      <w:tr>
        <w:tc>
          <w:tcPr>
            <w:tcW w:type="dxa" w:w="3009"/>
            <w:vAlign w:val="center"/>
          </w:tcPr>
          <w:p>
            <w:pPr>
              <w:jc w:val="center"/>
            </w:pPr>
            <w:r>
              <w:rPr>
                <w:rFonts w:ascii="Times New Roman" w:hAnsi="Times New Roman" w:eastAsia="宋体"/>
                <w:sz w:val="17"/>
              </w:rPr>
              <w:t>time/date</w:t>
            </w:r>
          </w:p>
        </w:tc>
        <w:tc>
          <w:tcPr>
            <w:tcW w:type="dxa" w:w="3009"/>
            <w:vAlign w:val="center"/>
          </w:tcPr>
          <w:p>
            <w:pPr>
              <w:jc w:val="center"/>
            </w:pPr>
            <w:r>
              <w:rPr>
                <w:rFonts w:ascii="Times New Roman" w:hAnsi="Times New Roman" w:eastAsia="宋体"/>
                <w:sz w:val="17"/>
              </w:rPr>
              <w:t>timestamp</w:t>
            </w:r>
          </w:p>
        </w:tc>
        <w:tc>
          <w:tcPr>
            <w:tcW w:type="dxa" w:w="3009"/>
            <w:vAlign w:val="center"/>
          </w:tcPr>
          <w:p>
            <w:pPr>
              <w:jc w:val="center"/>
            </w:pPr>
            <w:r>
              <w:rPr>
                <w:rFonts w:ascii="Times New Roman" w:hAnsi="Times New Roman" w:eastAsia="宋体"/>
                <w:sz w:val="17"/>
              </w:rPr>
              <w:t>日粒度日期索引，用于时间顺序划分与日历特征构造</w:t>
            </w:r>
          </w:p>
        </w:tc>
      </w:tr>
      <w:tr>
        <w:tc>
          <w:tcPr>
            <w:tcW w:type="dxa" w:w="3009"/>
            <w:vAlign w:val="center"/>
          </w:tcPr>
          <w:p>
            <w:pPr>
              <w:jc w:val="center"/>
            </w:pPr>
            <w:r>
              <w:rPr>
                <w:rFonts w:ascii="Times New Roman" w:hAnsi="Times New Roman" w:eastAsia="宋体"/>
                <w:sz w:val="17"/>
              </w:rPr>
              <w:t>weekday</w:t>
            </w:r>
          </w:p>
        </w:tc>
        <w:tc>
          <w:tcPr>
            <w:tcW w:type="dxa" w:w="3009"/>
            <w:vAlign w:val="center"/>
          </w:tcPr>
          <w:p>
            <w:pPr>
              <w:jc w:val="center"/>
            </w:pPr>
            <w:r>
              <w:rPr>
                <w:rFonts w:ascii="Times New Roman" w:hAnsi="Times New Roman" w:eastAsia="宋体"/>
                <w:sz w:val="17"/>
              </w:rPr>
              <w:t>categorical/derived</w:t>
            </w:r>
          </w:p>
        </w:tc>
        <w:tc>
          <w:tcPr>
            <w:tcW w:type="dxa" w:w="3009"/>
            <w:vAlign w:val="center"/>
          </w:tcPr>
          <w:p>
            <w:pPr>
              <w:jc w:val="center"/>
            </w:pPr>
            <w:r>
              <w:rPr>
                <w:rFonts w:ascii="Times New Roman" w:hAnsi="Times New Roman" w:eastAsia="宋体"/>
                <w:sz w:val="17"/>
              </w:rPr>
              <w:t>星期周期，反映跨周出行节律</w:t>
            </w:r>
          </w:p>
        </w:tc>
      </w:tr>
      <w:tr>
        <w:tc>
          <w:tcPr>
            <w:tcW w:type="dxa" w:w="3009"/>
            <w:vAlign w:val="center"/>
          </w:tcPr>
          <w:p>
            <w:pPr>
              <w:jc w:val="center"/>
            </w:pPr>
            <w:r>
              <w:rPr>
                <w:rFonts w:ascii="Times New Roman" w:hAnsi="Times New Roman" w:eastAsia="宋体"/>
                <w:sz w:val="17"/>
              </w:rPr>
              <w:t>holiday</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法定节假日标志，刻画非常规出行场景</w:t>
            </w:r>
          </w:p>
        </w:tc>
      </w:tr>
      <w:tr>
        <w:tc>
          <w:tcPr>
            <w:tcW w:type="dxa" w:w="3009"/>
            <w:vAlign w:val="center"/>
          </w:tcPr>
          <w:p>
            <w:pPr>
              <w:jc w:val="center"/>
            </w:pPr>
            <w:r>
              <w:rPr>
                <w:rFonts w:ascii="Times New Roman" w:hAnsi="Times New Roman" w:eastAsia="宋体"/>
                <w:sz w:val="17"/>
              </w:rPr>
              <w:t>weekend/workday adjustment</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周末与调休工作日标志，修正普通星期语义</w:t>
            </w:r>
          </w:p>
        </w:tc>
      </w:tr>
      <w:tr>
        <w:tc>
          <w:tcPr>
            <w:tcW w:type="dxa" w:w="3009"/>
            <w:vAlign w:val="center"/>
          </w:tcPr>
          <w:p>
            <w:pPr>
              <w:jc w:val="center"/>
            </w:pPr>
            <w:r>
              <w:rPr>
                <w:rFonts w:ascii="Times New Roman" w:hAnsi="Times New Roman" w:eastAsia="宋体"/>
                <w:sz w:val="17"/>
              </w:rPr>
              <w:t>trend/regime statistics</w:t>
            </w:r>
          </w:p>
        </w:tc>
        <w:tc>
          <w:tcPr>
            <w:tcW w:type="dxa" w:w="3009"/>
            <w:vAlign w:val="center"/>
          </w:tcPr>
          <w:p>
            <w:pPr>
              <w:jc w:val="center"/>
            </w:pPr>
            <w:r>
              <w:rPr>
                <w:rFonts w:ascii="Times New Roman" w:hAnsi="Times New Roman" w:eastAsia="宋体"/>
                <w:sz w:val="17"/>
              </w:rPr>
              <w:t>derived</w:t>
            </w:r>
          </w:p>
        </w:tc>
        <w:tc>
          <w:tcPr>
            <w:tcW w:type="dxa" w:w="3009"/>
            <w:vAlign w:val="center"/>
          </w:tcPr>
          <w:p>
            <w:pPr>
              <w:jc w:val="center"/>
            </w:pPr>
            <w:r>
              <w:rPr>
                <w:rFonts w:ascii="Times New Roman" w:hAnsi="Times New Roman" w:eastAsia="宋体"/>
                <w:sz w:val="17"/>
              </w:rPr>
              <w:t>rolling statistics、volatility、quantile skewness等窗口级分布变化特征</w:t>
            </w:r>
          </w:p>
        </w:tc>
      </w:tr>
    </w:tbl>
    <w:p>
      <w:pPr>
        <w:jc w:val="center"/>
      </w:pPr>
      <w:r>
        <w:rPr>
          <w:rFonts w:ascii="Times New Roman" w:hAnsi="Times New Roman" w:eastAsia="宋体"/>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time</w:t>
            </w:r>
          </w:p>
        </w:tc>
        <w:tc>
          <w:tcPr>
            <w:tcW w:type="dxa" w:w="1805"/>
            <w:vAlign w:val="center"/>
          </w:tcPr>
          <w:p>
            <w:pPr>
              <w:jc w:val="center"/>
            </w:pPr>
            <w:r>
              <w:rPr>
                <w:rFonts w:ascii="Times New Roman" w:hAnsi="Times New Roman" w:eastAsia="宋体"/>
                <w:b/>
                <w:sz w:val="17"/>
              </w:rPr>
              <w:t>北京南_from_nj</w:t>
            </w:r>
          </w:p>
        </w:tc>
        <w:tc>
          <w:tcPr>
            <w:tcW w:type="dxa" w:w="1805"/>
            <w:vAlign w:val="center"/>
          </w:tcPr>
          <w:p>
            <w:pPr>
              <w:jc w:val="center"/>
            </w:pPr>
            <w:r>
              <w:rPr>
                <w:rFonts w:ascii="Times New Roman" w:hAnsi="Times New Roman" w:eastAsia="宋体"/>
                <w:b/>
                <w:sz w:val="17"/>
              </w:rPr>
              <w:t>成都东_from_nj</w:t>
            </w:r>
          </w:p>
        </w:tc>
        <w:tc>
          <w:tcPr>
            <w:tcW w:type="dxa" w:w="1805"/>
            <w:vAlign w:val="center"/>
          </w:tcPr>
          <w:p>
            <w:pPr>
              <w:jc w:val="center"/>
            </w:pPr>
            <w:r>
              <w:rPr>
                <w:rFonts w:ascii="Times New Roman" w:hAnsi="Times New Roman" w:eastAsia="宋体"/>
                <w:b/>
                <w:sz w:val="17"/>
              </w:rPr>
              <w:t>北京南_to_nj</w:t>
            </w:r>
          </w:p>
        </w:tc>
        <w:tc>
          <w:tcPr>
            <w:tcW w:type="dxa" w:w="1805"/>
            <w:vAlign w:val="center"/>
          </w:tcPr>
          <w:p>
            <w:pPr>
              <w:jc w:val="center"/>
            </w:pPr>
            <w:r>
              <w:rPr>
                <w:rFonts w:ascii="Times New Roman" w:hAnsi="Times New Roman" w:eastAsia="宋体"/>
                <w:b/>
                <w:sz w:val="17"/>
              </w:rPr>
              <w:t>成都东_to_nj</w:t>
            </w:r>
          </w:p>
        </w:tc>
      </w:tr>
      <w:tr>
        <w:tc>
          <w:tcPr>
            <w:tcW w:type="dxa" w:w="1805"/>
            <w:vAlign w:val="center"/>
          </w:tcPr>
          <w:p>
            <w:pPr>
              <w:jc w:val="center"/>
            </w:pPr>
            <w:r>
              <w:rPr>
                <w:rFonts w:ascii="Times New Roman" w:hAnsi="Times New Roman" w:eastAsia="宋体"/>
                <w:sz w:val="17"/>
              </w:rPr>
              <w:t>2023-01-01</w:t>
            </w:r>
          </w:p>
        </w:tc>
        <w:tc>
          <w:tcPr>
            <w:tcW w:type="dxa" w:w="1805"/>
            <w:vAlign w:val="center"/>
          </w:tcPr>
          <w:p>
            <w:pPr>
              <w:jc w:val="center"/>
            </w:pPr>
            <w:r>
              <w:rPr>
                <w:rFonts w:ascii="Times New Roman" w:hAnsi="Times New Roman" w:eastAsia="宋体"/>
                <w:sz w:val="17"/>
              </w:rPr>
              <w:t>1910</w:t>
            </w:r>
          </w:p>
        </w:tc>
        <w:tc>
          <w:tcPr>
            <w:tcW w:type="dxa" w:w="1805"/>
            <w:vAlign w:val="center"/>
          </w:tcPr>
          <w:p>
            <w:pPr>
              <w:jc w:val="center"/>
            </w:pPr>
            <w:r>
              <w:rPr>
                <w:rFonts w:ascii="Times New Roman" w:hAnsi="Times New Roman" w:eastAsia="宋体"/>
                <w:sz w:val="17"/>
              </w:rPr>
              <w:t>134</w:t>
            </w:r>
          </w:p>
        </w:tc>
        <w:tc>
          <w:tcPr>
            <w:tcW w:type="dxa" w:w="1805"/>
            <w:vAlign w:val="center"/>
          </w:tcPr>
          <w:p>
            <w:pPr>
              <w:jc w:val="center"/>
            </w:pPr>
            <w:r>
              <w:rPr>
                <w:rFonts w:ascii="Times New Roman" w:hAnsi="Times New Roman" w:eastAsia="宋体"/>
                <w:sz w:val="17"/>
              </w:rPr>
              <w:t>1535</w:t>
            </w:r>
          </w:p>
        </w:tc>
        <w:tc>
          <w:tcPr>
            <w:tcW w:type="dxa" w:w="1805"/>
            <w:vAlign w:val="center"/>
          </w:tcPr>
          <w:p>
            <w:pPr>
              <w:jc w:val="center"/>
            </w:pPr>
            <w:r>
              <w:rPr>
                <w:rFonts w:ascii="Times New Roman" w:hAnsi="Times New Roman" w:eastAsia="宋体"/>
                <w:sz w:val="17"/>
              </w:rPr>
              <w:t>36</w:t>
            </w:r>
          </w:p>
        </w:tc>
      </w:tr>
      <w:tr>
        <w:tc>
          <w:tcPr>
            <w:tcW w:type="dxa" w:w="1805"/>
            <w:vAlign w:val="center"/>
          </w:tcPr>
          <w:p>
            <w:pPr>
              <w:jc w:val="center"/>
            </w:pPr>
            <w:r>
              <w:rPr>
                <w:rFonts w:ascii="Times New Roman" w:hAnsi="Times New Roman" w:eastAsia="宋体"/>
                <w:sz w:val="17"/>
              </w:rPr>
              <w:t>2023-01-02</w:t>
            </w:r>
          </w:p>
        </w:tc>
        <w:tc>
          <w:tcPr>
            <w:tcW w:type="dxa" w:w="1805"/>
            <w:vAlign w:val="center"/>
          </w:tcPr>
          <w:p>
            <w:pPr>
              <w:jc w:val="center"/>
            </w:pPr>
            <w:r>
              <w:rPr>
                <w:rFonts w:ascii="Times New Roman" w:hAnsi="Times New Roman" w:eastAsia="宋体"/>
                <w:sz w:val="17"/>
              </w:rPr>
              <w:t>5657</w:t>
            </w:r>
          </w:p>
        </w:tc>
        <w:tc>
          <w:tcPr>
            <w:tcW w:type="dxa" w:w="1805"/>
            <w:vAlign w:val="center"/>
          </w:tcPr>
          <w:p>
            <w:pPr>
              <w:jc w:val="center"/>
            </w:pPr>
            <w:r>
              <w:rPr>
                <w:rFonts w:ascii="Times New Roman" w:hAnsi="Times New Roman" w:eastAsia="宋体"/>
                <w:sz w:val="17"/>
              </w:rPr>
              <w:t>63</w:t>
            </w:r>
          </w:p>
        </w:tc>
        <w:tc>
          <w:tcPr>
            <w:tcW w:type="dxa" w:w="1805"/>
            <w:vAlign w:val="center"/>
          </w:tcPr>
          <w:p>
            <w:pPr>
              <w:jc w:val="center"/>
            </w:pPr>
            <w:r>
              <w:rPr>
                <w:rFonts w:ascii="Times New Roman" w:hAnsi="Times New Roman" w:eastAsia="宋体"/>
                <w:sz w:val="17"/>
              </w:rPr>
              <w:t>2700</w:t>
            </w:r>
          </w:p>
        </w:tc>
        <w:tc>
          <w:tcPr>
            <w:tcW w:type="dxa" w:w="1805"/>
            <w:vAlign w:val="center"/>
          </w:tcPr>
          <w:p>
            <w:pPr>
              <w:jc w:val="center"/>
            </w:pPr>
            <w:r>
              <w:rPr>
                <w:rFonts w:ascii="Times New Roman" w:hAnsi="Times New Roman" w:eastAsia="宋体"/>
                <w:sz w:val="17"/>
              </w:rPr>
              <w:t>61</w:t>
            </w:r>
          </w:p>
        </w:tc>
      </w:tr>
      <w:tr>
        <w:tc>
          <w:tcPr>
            <w:tcW w:type="dxa" w:w="1805"/>
            <w:vAlign w:val="center"/>
          </w:tcPr>
          <w:p>
            <w:pPr>
              <w:jc w:val="center"/>
            </w:pPr>
            <w:r>
              <w:rPr>
                <w:rFonts w:ascii="Times New Roman" w:hAnsi="Times New Roman" w:eastAsia="宋体"/>
                <w:sz w:val="17"/>
              </w:rPr>
              <w:t>2023-01-03</w:t>
            </w:r>
          </w:p>
        </w:tc>
        <w:tc>
          <w:tcPr>
            <w:tcW w:type="dxa" w:w="1805"/>
            <w:vAlign w:val="center"/>
          </w:tcPr>
          <w:p>
            <w:pPr>
              <w:jc w:val="center"/>
            </w:pPr>
            <w:r>
              <w:rPr>
                <w:rFonts w:ascii="Times New Roman" w:hAnsi="Times New Roman" w:eastAsia="宋体"/>
                <w:sz w:val="17"/>
              </w:rPr>
              <w:t>4184</w:t>
            </w:r>
          </w:p>
        </w:tc>
        <w:tc>
          <w:tcPr>
            <w:tcW w:type="dxa" w:w="1805"/>
            <w:vAlign w:val="center"/>
          </w:tcPr>
          <w:p>
            <w:pPr>
              <w:jc w:val="center"/>
            </w:pPr>
            <w:r>
              <w:rPr>
                <w:rFonts w:ascii="Times New Roman" w:hAnsi="Times New Roman" w:eastAsia="宋体"/>
                <w:sz w:val="17"/>
              </w:rPr>
              <w:t>81</w:t>
            </w:r>
          </w:p>
        </w:tc>
        <w:tc>
          <w:tcPr>
            <w:tcW w:type="dxa" w:w="1805"/>
            <w:vAlign w:val="center"/>
          </w:tcPr>
          <w:p>
            <w:pPr>
              <w:jc w:val="center"/>
            </w:pPr>
            <w:r>
              <w:rPr>
                <w:rFonts w:ascii="Times New Roman" w:hAnsi="Times New Roman" w:eastAsia="宋体"/>
                <w:sz w:val="17"/>
              </w:rPr>
              <w:t>2935</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2023-01-04</w:t>
            </w:r>
          </w:p>
        </w:tc>
        <w:tc>
          <w:tcPr>
            <w:tcW w:type="dxa" w:w="1805"/>
            <w:vAlign w:val="center"/>
          </w:tcPr>
          <w:p>
            <w:pPr>
              <w:jc w:val="center"/>
            </w:pPr>
            <w:r>
              <w:rPr>
                <w:rFonts w:ascii="Times New Roman" w:hAnsi="Times New Roman" w:eastAsia="宋体"/>
                <w:sz w:val="17"/>
              </w:rPr>
              <w:t>3617</w:t>
            </w:r>
          </w:p>
        </w:tc>
        <w:tc>
          <w:tcPr>
            <w:tcW w:type="dxa" w:w="1805"/>
            <w:vAlign w:val="center"/>
          </w:tcPr>
          <w:p>
            <w:pPr>
              <w:jc w:val="center"/>
            </w:pPr>
            <w:r>
              <w:rPr>
                <w:rFonts w:ascii="Times New Roman" w:hAnsi="Times New Roman" w:eastAsia="宋体"/>
                <w:sz w:val="17"/>
              </w:rPr>
              <w:t>230</w:t>
            </w:r>
          </w:p>
        </w:tc>
        <w:tc>
          <w:tcPr>
            <w:tcW w:type="dxa" w:w="1805"/>
            <w:vAlign w:val="center"/>
          </w:tcPr>
          <w:p>
            <w:pPr>
              <w:jc w:val="center"/>
            </w:pPr>
            <w:r>
              <w:rPr>
                <w:rFonts w:ascii="Times New Roman" w:hAnsi="Times New Roman" w:eastAsia="宋体"/>
                <w:sz w:val="17"/>
              </w:rPr>
              <w:t>3019</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2023-01-05</w:t>
            </w:r>
          </w:p>
        </w:tc>
        <w:tc>
          <w:tcPr>
            <w:tcW w:type="dxa" w:w="1805"/>
            <w:vAlign w:val="center"/>
          </w:tcPr>
          <w:p>
            <w:pPr>
              <w:jc w:val="center"/>
            </w:pPr>
            <w:r>
              <w:rPr>
                <w:rFonts w:ascii="Times New Roman" w:hAnsi="Times New Roman" w:eastAsia="宋体"/>
                <w:sz w:val="17"/>
              </w:rPr>
              <w:t>3491</w:t>
            </w:r>
          </w:p>
        </w:tc>
        <w:tc>
          <w:tcPr>
            <w:tcW w:type="dxa" w:w="1805"/>
            <w:vAlign w:val="center"/>
          </w:tcPr>
          <w:p>
            <w:pPr>
              <w:jc w:val="center"/>
            </w:pPr>
            <w:r>
              <w:rPr>
                <w:rFonts w:ascii="Times New Roman" w:hAnsi="Times New Roman" w:eastAsia="宋体"/>
                <w:sz w:val="17"/>
              </w:rPr>
              <w:t>263</w:t>
            </w:r>
          </w:p>
        </w:tc>
        <w:tc>
          <w:tcPr>
            <w:tcW w:type="dxa" w:w="1805"/>
            <w:vAlign w:val="center"/>
          </w:tcPr>
          <w:p>
            <w:pPr>
              <w:jc w:val="center"/>
            </w:pPr>
            <w:r>
              <w:rPr>
                <w:rFonts w:ascii="Times New Roman" w:hAnsi="Times New Roman" w:eastAsia="宋体"/>
                <w:sz w:val="17"/>
              </w:rPr>
              <w:t>3326</w:t>
            </w:r>
          </w:p>
        </w:tc>
        <w:tc>
          <w:tcPr>
            <w:tcW w:type="dxa" w:w="1805"/>
            <w:vAlign w:val="center"/>
          </w:tcPr>
          <w:p>
            <w:pPr>
              <w:jc w:val="center"/>
            </w:pPr>
            <w:r>
              <w:rPr>
                <w:rFonts w:ascii="Times New Roman" w:hAnsi="Times New Roman" w:eastAsia="宋体"/>
                <w:sz w:val="17"/>
              </w:rPr>
              <w:t>83</w:t>
            </w:r>
          </w:p>
        </w:tc>
      </w:tr>
    </w:tbl>
    <w:p>
      <w:r>
        <w:rPr>
          <w:rFonts w:ascii="Times New Roman" w:hAnsi="Times New Roman" w:eastAsia="宋体"/>
          <w:b/>
          <w:sz w:val="21"/>
        </w:rPr>
        <w:t>2.1.1  多视图特征工程与特征选择</w:t>
      </w:r>
    </w:p>
    <w:p>
      <w:r>
        <w:rPr>
          <w:rFonts w:ascii="Times New Roman" w:hAnsi="Times New Roman" w:eastAsia="宋体"/>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宋体"/>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宋体"/>
                <w:b/>
                <w:sz w:val="17"/>
              </w:rPr>
              <w:t>特征类别</w:t>
            </w:r>
          </w:p>
        </w:tc>
        <w:tc>
          <w:tcPr>
            <w:tcW w:type="dxa" w:w="2256"/>
            <w:vAlign w:val="center"/>
          </w:tcPr>
          <w:p>
            <w:pPr>
              <w:jc w:val="center"/>
            </w:pPr>
            <w:r>
              <w:rPr>
                <w:rFonts w:ascii="Times New Roman" w:hAnsi="Times New Roman" w:eastAsia="宋体"/>
                <w:b/>
                <w:sz w:val="17"/>
              </w:rPr>
              <w:t>类型</w:t>
            </w:r>
          </w:p>
        </w:tc>
        <w:tc>
          <w:tcPr>
            <w:tcW w:type="dxa" w:w="2256"/>
            <w:vAlign w:val="center"/>
          </w:tcPr>
          <w:p>
            <w:pPr>
              <w:jc w:val="center"/>
            </w:pPr>
            <w:r>
              <w:rPr>
                <w:rFonts w:ascii="Times New Roman" w:hAnsi="Times New Roman" w:eastAsia="宋体"/>
                <w:b/>
                <w:sz w:val="17"/>
              </w:rPr>
              <w:t>具体构造</w:t>
            </w:r>
          </w:p>
        </w:tc>
        <w:tc>
          <w:tcPr>
            <w:tcW w:type="dxa" w:w="2256"/>
            <w:vAlign w:val="center"/>
          </w:tcPr>
          <w:p>
            <w:pPr>
              <w:jc w:val="center"/>
            </w:pPr>
            <w:r>
              <w:rPr>
                <w:rFonts w:ascii="Times New Roman" w:hAnsi="Times New Roman" w:eastAsia="宋体"/>
                <w:b/>
                <w:sz w:val="17"/>
              </w:rPr>
              <w:t>对应专家/路由作用</w:t>
            </w:r>
          </w:p>
        </w:tc>
      </w:tr>
      <w:tr>
        <w:tc>
          <w:tcPr>
            <w:tcW w:type="dxa" w:w="2256"/>
            <w:vAlign w:val="center"/>
          </w:tcPr>
          <w:p>
            <w:pPr>
              <w:jc w:val="center"/>
            </w:pPr>
            <w:r>
              <w:rPr>
                <w:rFonts w:ascii="Times New Roman" w:hAnsi="Times New Roman" w:eastAsia="宋体"/>
                <w:sz w:val="17"/>
              </w:rPr>
              <w:t>历史客流窗口</w:t>
            </w:r>
          </w:p>
        </w:tc>
        <w:tc>
          <w:tcPr>
            <w:tcW w:type="dxa" w:w="2256"/>
            <w:vAlign w:val="center"/>
          </w:tcPr>
          <w:p>
            <w:pPr>
              <w:jc w:val="center"/>
            </w:pPr>
            <w:r>
              <w:rPr>
                <w:rFonts w:ascii="Times New Roman" w:hAnsi="Times New Roman" w:eastAsia="宋体"/>
                <w:sz w:val="17"/>
              </w:rPr>
              <w:t>连续变量</w:t>
            </w:r>
          </w:p>
        </w:tc>
        <w:tc>
          <w:tcPr>
            <w:tcW w:type="dxa" w:w="2256"/>
            <w:vAlign w:val="center"/>
          </w:tcPr>
          <w:p>
            <w:pPr>
              <w:jc w:val="center"/>
            </w:pPr>
            <w:r>
              <w:rPr>
                <w:rFonts w:ascii="Times New Roman" w:hAnsi="Times New Roman" w:eastAsia="宋体"/>
                <w:sz w:val="17"/>
              </w:rPr>
              <w:t>20个from/to方向客流序列，lookback=6，RobustScaler归一化</w:t>
            </w:r>
          </w:p>
        </w:tc>
        <w:tc>
          <w:tcPr>
            <w:tcW w:type="dxa" w:w="2256"/>
            <w:vAlign w:val="center"/>
          </w:tcPr>
          <w:p>
            <w:pPr>
              <w:jc w:val="center"/>
            </w:pPr>
            <w:r>
              <w:rPr>
                <w:rFonts w:ascii="Times New Roman" w:hAnsi="Times New Roman" w:eastAsia="宋体"/>
                <w:sz w:val="17"/>
              </w:rPr>
              <w:t>短期依赖专家、长期依赖专家的主要输入</w:t>
            </w:r>
          </w:p>
        </w:tc>
      </w:tr>
      <w:tr>
        <w:tc>
          <w:tcPr>
            <w:tcW w:type="dxa" w:w="2256"/>
            <w:vAlign w:val="center"/>
          </w:tcPr>
          <w:p>
            <w:pPr>
              <w:jc w:val="center"/>
            </w:pPr>
            <w:r>
              <w:rPr>
                <w:rFonts w:ascii="Times New Roman" w:hAnsi="Times New Roman" w:eastAsia="宋体"/>
                <w:sz w:val="17"/>
              </w:rPr>
              <w:t>日历场景特征</w:t>
            </w:r>
          </w:p>
        </w:tc>
        <w:tc>
          <w:tcPr>
            <w:tcW w:type="dxa" w:w="2256"/>
            <w:vAlign w:val="center"/>
          </w:tcPr>
          <w:p>
            <w:pPr>
              <w:jc w:val="center"/>
            </w:pPr>
            <w:r>
              <w:rPr>
                <w:rFonts w:ascii="Times New Roman" w:hAnsi="Times New Roman" w:eastAsia="宋体"/>
                <w:sz w:val="17"/>
              </w:rPr>
              <w:t>可预测类别/周期特征</w:t>
            </w:r>
          </w:p>
        </w:tc>
        <w:tc>
          <w:tcPr>
            <w:tcW w:type="dxa" w:w="2256"/>
            <w:vAlign w:val="center"/>
          </w:tcPr>
          <w:p>
            <w:pPr>
              <w:jc w:val="center"/>
            </w:pPr>
            <w:r>
              <w:rPr>
                <w:rFonts w:ascii="Times New Roman" w:hAnsi="Times New Roman" w:eastAsia="宋体"/>
                <w:sz w:val="17"/>
              </w:rPr>
              <w:t>星期、月份、周末、节假日、调休工作日、日期归一化及周期编码</w:t>
            </w:r>
          </w:p>
        </w:tc>
        <w:tc>
          <w:tcPr>
            <w:tcW w:type="dxa" w:w="2256"/>
            <w:vAlign w:val="center"/>
          </w:tcPr>
          <w:p>
            <w:pPr>
              <w:jc w:val="center"/>
            </w:pPr>
            <w:r>
              <w:rPr>
                <w:rFonts w:ascii="Times New Roman" w:hAnsi="Times New Roman" w:eastAsia="宋体"/>
                <w:sz w:val="17"/>
              </w:rPr>
              <w:t>刻画工作日/周末/节假日等regime条件，输入门控网络</w:t>
            </w:r>
          </w:p>
        </w:tc>
      </w:tr>
      <w:tr>
        <w:tc>
          <w:tcPr>
            <w:tcW w:type="dxa" w:w="2256"/>
            <w:vAlign w:val="center"/>
          </w:tcPr>
          <w:p>
            <w:pPr>
              <w:jc w:val="center"/>
            </w:pPr>
            <w:r>
              <w:rPr>
                <w:rFonts w:ascii="Times New Roman" w:hAnsi="Times New Roman" w:eastAsia="宋体"/>
                <w:sz w:val="17"/>
              </w:rPr>
              <w:t>滚动统计特征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窗口均值、标准差、最大值、分位数、分布偏态等</w:t>
            </w:r>
          </w:p>
        </w:tc>
        <w:tc>
          <w:tcPr>
            <w:tcW w:type="dxa" w:w="2256"/>
            <w:vAlign w:val="center"/>
          </w:tcPr>
          <w:p>
            <w:pPr>
              <w:jc w:val="center"/>
            </w:pPr>
            <w:r>
              <w:rPr>
                <w:rFonts w:ascii="Times New Roman" w:hAnsi="Times New Roman" w:eastAsia="宋体"/>
                <w:sz w:val="17"/>
              </w:rPr>
              <w:t>为分布偏移专家提供窗口级扰动证据</w:t>
            </w:r>
          </w:p>
        </w:tc>
      </w:tr>
      <w:tr>
        <w:tc>
          <w:tcPr>
            <w:tcW w:type="dxa" w:w="2256"/>
            <w:vAlign w:val="center"/>
          </w:tcPr>
          <w:p>
            <w:pPr>
              <w:jc w:val="center"/>
            </w:pPr>
            <w:r>
              <w:rPr>
                <w:rFonts w:ascii="Times New Roman" w:hAnsi="Times New Roman" w:eastAsia="宋体"/>
                <w:sz w:val="17"/>
              </w:rPr>
              <w:t>鲁棒扰动特征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robust z-score、quantile skewness、peak-to-average ratio、volatility index</w:t>
            </w:r>
          </w:p>
        </w:tc>
        <w:tc>
          <w:tcPr>
            <w:tcW w:type="dxa" w:w="2256"/>
            <w:vAlign w:val="center"/>
          </w:tcPr>
          <w:p>
            <w:pPr>
              <w:jc w:val="center"/>
            </w:pPr>
            <w:r>
              <w:rPr>
                <w:rFonts w:ascii="Times New Roman" w:hAnsi="Times New Roman" w:eastAsia="宋体"/>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宋体"/>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上述模型涵盖了传统统计方法、经典机器学习方法以及代表性的深度学习结构，可从不同维度对</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宋体"/>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2.5  客流预测结果对比分析</w:t>
      </w:r>
    </w:p>
    <w:p>
      <w:r>
        <w:rPr>
          <w:rFonts w:ascii="Times New Roman" w:hAnsi="Times New Roman" w:eastAsia="宋体"/>
          <w:sz w:val="21"/>
        </w:rPr>
        <w:t>严格无泄露最终结果：Strict RAMR-VE采用验证集balanced objective选择集成权重和全局尺度，测试集只在方案固定后评估一次；最终MAPE=18.55%、MSE=0.035640、MAE=0.138028，相比原MoE-Rail的19.41%、0.037700、0.144000三项指标均改善。</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宋体"/>
          <w:sz w:val="21"/>
        </w:rPr>
        <w:t>图2对预测结果进行了图形化展示；表1汇总了MoE-Rail、Strict RAMR-VE与代表性基线方法的性能对比。为避免测试集泄露，Strict RAMR-VE采用严格时间顺序协议：归一化器仅在训练集拟合，checkpoint、集成权重与尺度校准参数均由验证集确定，测试集仅用于最终一次评估。实验结果表明，Strict RAMR-VE在铁路主数据集上取得18.55%的MAPE、0.035640的MSE和0.138028的MAE，三项指标均优于原MoE-Rail结果（19.41%、0.037700、0.144000）以及新增现代强基线。新增基线中FreEformer表现最强，MAPE为20.15%，但仍低于Strict RAMR-VE。</w:t>
      </w:r>
    </w:p>
    <w:p w14:paraId="3DDB617F">
      <w:pPr>
        <w:overflowPunct w:val="0"/>
        <w:autoSpaceDE w:val="0"/>
        <w:spacing w:line="360" w:lineRule="auto"/>
        <w:ind w:firstLine="420"/>
        <w:rPr>
          <w:szCs w:val="21"/>
          <w:highlight w:val="none"/>
        </w:rPr>
      </w:pPr>
      <w:r>
        <w:rPr>
          <w:rFonts w:ascii="Times New Roman" w:hAnsi="Times New Roman" w:eastAsia="宋体"/>
          <w:sz w:val="21"/>
        </w:rPr>
        <w:t>MoE-Rail性能提升主要原因在于：在分解引导框架下，短期依赖、长期依赖与分布偏移三类异构专家分别刻画与Sₜ、Tₜ、Rₜ相关的局部波动、长期周期性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宋体"/>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宋体"/>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宋体"/>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宋体"/>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宋体"/>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宋体"/>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宋体"/>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宋体"/>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宋体"/>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宋体"/>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宋体"/>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宋体"/>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宋体"/>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宋体"/>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宋体"/>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宋体"/>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宋体"/>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宋体"/>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宋体"/>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宋体"/>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宋体"/>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宋体"/>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宋体"/>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宋体"/>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宋体"/>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宋体"/>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宋体"/>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宋体"/>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宋体"/>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宋体"/>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宋体"/>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宋体"/>
                <w:b/>
                <w:bCs/>
                <w:sz w:val="17"/>
                <w:szCs w:val="18"/>
                <w:highlight w:val="none"/>
              </w:rPr>
              <w:t>19.41%</w:t>
            </w:r>
          </w:p>
        </w:tc>
      </w:tr>
      <w:tr>
        <w:tc>
          <w:tcPr>
            <w:tcW w:type="dxa" w:w="2130"/>
          </w:tcPr>
          <w:p>
            <w:r>
              <w:rPr>
                <w:rFonts w:ascii="Times New Roman" w:hAnsi="Times New Roman" w:eastAsia="宋体"/>
                <w:sz w:val="21"/>
              </w:rPr>
              <w:t>Strict RAMR-VE</w:t>
            </w:r>
          </w:p>
        </w:tc>
        <w:tc>
          <w:tcPr>
            <w:tcW w:type="dxa" w:w="2130"/>
          </w:tcPr>
          <w:p>
            <w:r>
              <w:rPr>
                <w:rFonts w:ascii="Times New Roman" w:hAnsi="Times New Roman" w:eastAsia="宋体"/>
                <w:sz w:val="21"/>
              </w:rPr>
              <w:t>0.1380</w:t>
            </w:r>
          </w:p>
        </w:tc>
        <w:tc>
          <w:tcPr>
            <w:tcW w:type="dxa" w:w="2131"/>
          </w:tcPr>
          <w:p>
            <w:r>
              <w:rPr>
                <w:rFonts w:ascii="Times New Roman" w:hAnsi="Times New Roman" w:eastAsia="宋体"/>
                <w:sz w:val="21"/>
              </w:rPr>
              <w:t>0.035640</w:t>
            </w:r>
          </w:p>
        </w:tc>
        <w:tc>
          <w:tcPr>
            <w:tcW w:type="dxa" w:w="2131"/>
          </w:tcPr>
          <w:p>
            <w:r>
              <w:rPr>
                <w:rFonts w:ascii="Times New Roman" w:hAnsi="Times New Roman" w:eastAsia="宋体"/>
                <w:sz w:val="21"/>
              </w:rPr>
              <w:t>18.55%</w:t>
            </w:r>
          </w:p>
        </w:tc>
      </w:tr>
    </w:tbl>
    <w:p w14:paraId="6D001112">
      <w:pPr>
        <w:overflowPunct w:val="0"/>
        <w:autoSpaceDE w:val="0"/>
        <w:spacing w:line="314" w:lineRule="exact"/>
        <w:rPr>
          <w:szCs w:val="21"/>
          <w:highlight w:val="none"/>
        </w:rPr>
      </w:pPr>
      <w:r>
        <w:rPr>
          <w:rFonts w:ascii="Times New Roman" w:hAnsi="Times New Roman" w:eastAsia="宋体"/>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宋体"/>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ascii="Times New Roman" w:hAnsi="Times New Roman" w:eastAsia="宋体"/>
          <w:sz w:val="21"/>
        </w:rPr>
        <w:t>由图2可见，MoE-Rail/RAMR在峰值与低谷时段均更贴近真实客流，尤其在节假日等强波动区间跟踪误差更小；严格无泄露验证集集成后，表1中Strict RAMR-VE的MAPE进一步降至18.55%。</w:t>
      </w:r>
    </w:p>
    <w:p>
      <w:pPr>
        <w:jc w:val="center"/>
      </w:pPr>
      <w:r>
        <w:rPr>
          <w:rFonts w:ascii="Times New Roman" w:hAnsi="Times New Roman" w:eastAsia="宋体"/>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宋体"/>
                <w:b/>
                <w:sz w:val="17"/>
              </w:rPr>
              <w:t>方法</w:t>
            </w:r>
          </w:p>
        </w:tc>
        <w:tc>
          <w:tcPr>
            <w:tcW w:type="dxa" w:w="1504"/>
            <w:vAlign w:val="center"/>
          </w:tcPr>
          <w:p>
            <w:pPr>
              <w:jc w:val="center"/>
            </w:pPr>
            <w:r>
              <w:rPr>
                <w:rFonts w:ascii="Times New Roman" w:hAnsi="Times New Roman" w:eastAsia="宋体"/>
                <w:b/>
                <w:sz w:val="17"/>
              </w:rPr>
              <w:t>最佳epoch</w:t>
            </w:r>
          </w:p>
        </w:tc>
        <w:tc>
          <w:tcPr>
            <w:tcW w:type="dxa" w:w="1504"/>
            <w:vAlign w:val="center"/>
          </w:tcPr>
          <w:p>
            <w:pPr>
              <w:jc w:val="center"/>
            </w:pPr>
            <w:r>
              <w:rPr>
                <w:rFonts w:ascii="Times New Roman" w:hAnsi="Times New Roman" w:eastAsia="宋体"/>
                <w:b/>
                <w:sz w:val="17"/>
              </w:rPr>
              <w:t>验证MAPE/%</w:t>
            </w:r>
          </w:p>
        </w:tc>
        <w:tc>
          <w:tcPr>
            <w:tcW w:type="dxa" w:w="1504"/>
            <w:vAlign w:val="center"/>
          </w:tcPr>
          <w:p>
            <w:pPr>
              <w:jc w:val="center"/>
            </w:pPr>
            <w:r>
              <w:rPr>
                <w:rFonts w:ascii="Times New Roman" w:hAnsi="Times New Roman" w:eastAsia="宋体"/>
                <w:b/>
                <w:sz w:val="17"/>
              </w:rPr>
              <w:t>测试MAPE/%</w:t>
            </w:r>
          </w:p>
        </w:tc>
        <w:tc>
          <w:tcPr>
            <w:tcW w:type="dxa" w:w="1504"/>
            <w:vAlign w:val="center"/>
          </w:tcPr>
          <w:p>
            <w:pPr>
              <w:jc w:val="center"/>
            </w:pPr>
            <w:r>
              <w:rPr>
                <w:rFonts w:ascii="Times New Roman" w:hAnsi="Times New Roman" w:eastAsia="宋体"/>
                <w:b/>
                <w:sz w:val="17"/>
              </w:rPr>
              <w:t>MSE</w:t>
            </w:r>
          </w:p>
        </w:tc>
        <w:tc>
          <w:tcPr>
            <w:tcW w:type="dxa" w:w="1504"/>
            <w:vAlign w:val="center"/>
          </w:tcPr>
          <w:p>
            <w:pPr>
              <w:jc w:val="center"/>
            </w:pPr>
            <w:r>
              <w:rPr>
                <w:rFonts w:ascii="Times New Roman" w:hAnsi="Times New Roman" w:eastAsia="宋体"/>
                <w:b/>
                <w:sz w:val="17"/>
              </w:rPr>
              <w:t>MAE</w:t>
            </w:r>
          </w:p>
        </w:tc>
      </w:tr>
      <w:tr>
        <w:tc>
          <w:tcPr>
            <w:tcW w:type="dxa" w:w="1504"/>
            <w:vAlign w:val="center"/>
          </w:tcPr>
          <w:p>
            <w:pPr>
              <w:jc w:val="center"/>
            </w:pPr>
            <w:r>
              <w:rPr>
                <w:rFonts w:ascii="Times New Roman" w:hAnsi="Times New Roman" w:eastAsia="宋体"/>
                <w:sz w:val="17"/>
              </w:rPr>
              <w:t>DLinear</w:t>
            </w:r>
          </w:p>
        </w:tc>
        <w:tc>
          <w:tcPr>
            <w:tcW w:type="dxa" w:w="1504"/>
            <w:vAlign w:val="center"/>
          </w:tcPr>
          <w:p>
            <w:pPr>
              <w:jc w:val="center"/>
            </w:pPr>
            <w:r>
              <w:rPr>
                <w:rFonts w:ascii="Times New Roman" w:hAnsi="Times New Roman" w:eastAsia="宋体"/>
                <w:sz w:val="17"/>
              </w:rPr>
              <w:t>160</w:t>
            </w:r>
          </w:p>
        </w:tc>
        <w:tc>
          <w:tcPr>
            <w:tcW w:type="dxa" w:w="1504"/>
            <w:vAlign w:val="center"/>
          </w:tcPr>
          <w:p>
            <w:pPr>
              <w:jc w:val="center"/>
            </w:pPr>
            <w:r>
              <w:rPr>
                <w:rFonts w:ascii="Times New Roman" w:hAnsi="Times New Roman" w:eastAsia="宋体"/>
                <w:sz w:val="17"/>
              </w:rPr>
              <w:t>40.56</w:t>
            </w:r>
          </w:p>
        </w:tc>
        <w:tc>
          <w:tcPr>
            <w:tcW w:type="dxa" w:w="1504"/>
            <w:vAlign w:val="center"/>
          </w:tcPr>
          <w:p>
            <w:pPr>
              <w:jc w:val="center"/>
            </w:pPr>
            <w:r>
              <w:rPr>
                <w:rFonts w:ascii="Times New Roman" w:hAnsi="Times New Roman" w:eastAsia="宋体"/>
                <w:sz w:val="17"/>
              </w:rPr>
              <w:t>24.34</w:t>
            </w:r>
          </w:p>
        </w:tc>
        <w:tc>
          <w:tcPr>
            <w:tcW w:type="dxa" w:w="1504"/>
            <w:vAlign w:val="center"/>
          </w:tcPr>
          <w:p>
            <w:pPr>
              <w:jc w:val="center"/>
            </w:pPr>
            <w:r>
              <w:rPr>
                <w:rFonts w:ascii="Times New Roman" w:hAnsi="Times New Roman" w:eastAsia="宋体"/>
                <w:sz w:val="17"/>
              </w:rPr>
              <w:t>0.054314</w:t>
            </w:r>
          </w:p>
        </w:tc>
        <w:tc>
          <w:tcPr>
            <w:tcW w:type="dxa" w:w="1504"/>
            <w:vAlign w:val="center"/>
          </w:tcPr>
          <w:p>
            <w:pPr>
              <w:jc w:val="center"/>
            </w:pPr>
            <w:r>
              <w:rPr>
                <w:rFonts w:ascii="Times New Roman" w:hAnsi="Times New Roman" w:eastAsia="宋体"/>
                <w:sz w:val="17"/>
              </w:rPr>
              <w:t>0.182450</w:t>
            </w:r>
          </w:p>
        </w:tc>
      </w:tr>
      <w:tr>
        <w:tc>
          <w:tcPr>
            <w:tcW w:type="dxa" w:w="1504"/>
            <w:vAlign w:val="center"/>
          </w:tcPr>
          <w:p>
            <w:pPr>
              <w:jc w:val="center"/>
            </w:pPr>
            <w:r>
              <w:rPr>
                <w:rFonts w:ascii="Times New Roman" w:hAnsi="Times New Roman" w:eastAsia="宋体"/>
                <w:sz w:val="17"/>
              </w:rPr>
              <w:t>PatchTST</w:t>
            </w:r>
          </w:p>
        </w:tc>
        <w:tc>
          <w:tcPr>
            <w:tcW w:type="dxa" w:w="1504"/>
            <w:vAlign w:val="center"/>
          </w:tcPr>
          <w:p>
            <w:pPr>
              <w:jc w:val="center"/>
            </w:pPr>
            <w:r>
              <w:rPr>
                <w:rFonts w:ascii="Times New Roman" w:hAnsi="Times New Roman" w:eastAsia="宋体"/>
                <w:sz w:val="17"/>
              </w:rPr>
              <w:t>24</w:t>
            </w:r>
          </w:p>
        </w:tc>
        <w:tc>
          <w:tcPr>
            <w:tcW w:type="dxa" w:w="1504"/>
            <w:vAlign w:val="center"/>
          </w:tcPr>
          <w:p>
            <w:pPr>
              <w:jc w:val="center"/>
            </w:pPr>
            <w:r>
              <w:rPr>
                <w:rFonts w:ascii="Times New Roman" w:hAnsi="Times New Roman" w:eastAsia="宋体"/>
                <w:sz w:val="17"/>
              </w:rPr>
              <w:t>35.38</w:t>
            </w:r>
          </w:p>
        </w:tc>
        <w:tc>
          <w:tcPr>
            <w:tcW w:type="dxa" w:w="1504"/>
            <w:vAlign w:val="center"/>
          </w:tcPr>
          <w:p>
            <w:pPr>
              <w:jc w:val="center"/>
            </w:pPr>
            <w:r>
              <w:rPr>
                <w:rFonts w:ascii="Times New Roman" w:hAnsi="Times New Roman" w:eastAsia="宋体"/>
                <w:sz w:val="17"/>
              </w:rPr>
              <w:t>24.31</w:t>
            </w:r>
          </w:p>
        </w:tc>
        <w:tc>
          <w:tcPr>
            <w:tcW w:type="dxa" w:w="1504"/>
            <w:vAlign w:val="center"/>
          </w:tcPr>
          <w:p>
            <w:pPr>
              <w:jc w:val="center"/>
            </w:pPr>
            <w:r>
              <w:rPr>
                <w:rFonts w:ascii="Times New Roman" w:hAnsi="Times New Roman" w:eastAsia="宋体"/>
                <w:sz w:val="17"/>
              </w:rPr>
              <w:t>0.054858</w:t>
            </w:r>
          </w:p>
        </w:tc>
        <w:tc>
          <w:tcPr>
            <w:tcW w:type="dxa" w:w="1504"/>
            <w:vAlign w:val="center"/>
          </w:tcPr>
          <w:p>
            <w:pPr>
              <w:jc w:val="center"/>
            </w:pPr>
            <w:r>
              <w:rPr>
                <w:rFonts w:ascii="Times New Roman" w:hAnsi="Times New Roman" w:eastAsia="宋体"/>
                <w:sz w:val="17"/>
              </w:rPr>
              <w:t>0.170963</w:t>
            </w:r>
          </w:p>
        </w:tc>
      </w:tr>
      <w:tr>
        <w:tc>
          <w:tcPr>
            <w:tcW w:type="dxa" w:w="1504"/>
            <w:vAlign w:val="center"/>
          </w:tcPr>
          <w:p>
            <w:pPr>
              <w:jc w:val="center"/>
            </w:pPr>
            <w:r>
              <w:rPr>
                <w:rFonts w:ascii="Times New Roman" w:hAnsi="Times New Roman" w:eastAsia="宋体"/>
                <w:sz w:val="17"/>
              </w:rPr>
              <w:t>iTransformer</w:t>
            </w:r>
          </w:p>
        </w:tc>
        <w:tc>
          <w:tcPr>
            <w:tcW w:type="dxa" w:w="1504"/>
            <w:vAlign w:val="center"/>
          </w:tcPr>
          <w:p>
            <w:pPr>
              <w:jc w:val="center"/>
            </w:pPr>
            <w:r>
              <w:rPr>
                <w:rFonts w:ascii="Times New Roman" w:hAnsi="Times New Roman" w:eastAsia="宋体"/>
                <w:sz w:val="17"/>
              </w:rPr>
              <w:t>27</w:t>
            </w:r>
          </w:p>
        </w:tc>
        <w:tc>
          <w:tcPr>
            <w:tcW w:type="dxa" w:w="1504"/>
            <w:vAlign w:val="center"/>
          </w:tcPr>
          <w:p>
            <w:pPr>
              <w:jc w:val="center"/>
            </w:pPr>
            <w:r>
              <w:rPr>
                <w:rFonts w:ascii="Times New Roman" w:hAnsi="Times New Roman" w:eastAsia="宋体"/>
                <w:sz w:val="17"/>
              </w:rPr>
              <w:t>36.28</w:t>
            </w:r>
          </w:p>
        </w:tc>
        <w:tc>
          <w:tcPr>
            <w:tcW w:type="dxa" w:w="1504"/>
            <w:vAlign w:val="center"/>
          </w:tcPr>
          <w:p>
            <w:pPr>
              <w:jc w:val="center"/>
            </w:pPr>
            <w:r>
              <w:rPr>
                <w:rFonts w:ascii="Times New Roman" w:hAnsi="Times New Roman" w:eastAsia="宋体"/>
                <w:sz w:val="17"/>
              </w:rPr>
              <w:t>21.37</w:t>
            </w:r>
          </w:p>
        </w:tc>
        <w:tc>
          <w:tcPr>
            <w:tcW w:type="dxa" w:w="1504"/>
            <w:vAlign w:val="center"/>
          </w:tcPr>
          <w:p>
            <w:pPr>
              <w:jc w:val="center"/>
            </w:pPr>
            <w:r>
              <w:rPr>
                <w:rFonts w:ascii="Times New Roman" w:hAnsi="Times New Roman" w:eastAsia="宋体"/>
                <w:sz w:val="17"/>
              </w:rPr>
              <w:t>0.043506</w:t>
            </w:r>
          </w:p>
        </w:tc>
        <w:tc>
          <w:tcPr>
            <w:tcW w:type="dxa" w:w="1504"/>
            <w:vAlign w:val="center"/>
          </w:tcPr>
          <w:p>
            <w:pPr>
              <w:jc w:val="center"/>
            </w:pPr>
            <w:r>
              <w:rPr>
                <w:rFonts w:ascii="Times New Roman" w:hAnsi="Times New Roman" w:eastAsia="宋体"/>
                <w:sz w:val="17"/>
              </w:rPr>
              <w:t>0.154333</w:t>
            </w:r>
          </w:p>
        </w:tc>
      </w:tr>
      <w:tr>
        <w:tc>
          <w:tcPr>
            <w:tcW w:type="dxa" w:w="1504"/>
            <w:vAlign w:val="center"/>
          </w:tcPr>
          <w:p>
            <w:pPr>
              <w:jc w:val="center"/>
            </w:pPr>
            <w:r>
              <w:rPr>
                <w:rFonts w:ascii="Times New Roman" w:hAnsi="Times New Roman" w:eastAsia="宋体"/>
                <w:sz w:val="17"/>
              </w:rPr>
              <w:t>TimeMixer</w:t>
            </w:r>
          </w:p>
        </w:tc>
        <w:tc>
          <w:tcPr>
            <w:tcW w:type="dxa" w:w="1504"/>
            <w:vAlign w:val="center"/>
          </w:tcPr>
          <w:p>
            <w:pPr>
              <w:jc w:val="center"/>
            </w:pPr>
            <w:r>
              <w:rPr>
                <w:rFonts w:ascii="Times New Roman" w:hAnsi="Times New Roman" w:eastAsia="宋体"/>
                <w:sz w:val="17"/>
              </w:rPr>
              <w:t>49</w:t>
            </w:r>
          </w:p>
        </w:tc>
        <w:tc>
          <w:tcPr>
            <w:tcW w:type="dxa" w:w="1504"/>
            <w:vAlign w:val="center"/>
          </w:tcPr>
          <w:p>
            <w:pPr>
              <w:jc w:val="center"/>
            </w:pPr>
            <w:r>
              <w:rPr>
                <w:rFonts w:ascii="Times New Roman" w:hAnsi="Times New Roman" w:eastAsia="宋体"/>
                <w:sz w:val="17"/>
              </w:rPr>
              <w:t>32.51</w:t>
            </w:r>
          </w:p>
        </w:tc>
        <w:tc>
          <w:tcPr>
            <w:tcW w:type="dxa" w:w="1504"/>
            <w:vAlign w:val="center"/>
          </w:tcPr>
          <w:p>
            <w:pPr>
              <w:jc w:val="center"/>
            </w:pPr>
            <w:r>
              <w:rPr>
                <w:rFonts w:ascii="Times New Roman" w:hAnsi="Times New Roman" w:eastAsia="宋体"/>
                <w:sz w:val="17"/>
              </w:rPr>
              <w:t>23.55</w:t>
            </w:r>
          </w:p>
        </w:tc>
        <w:tc>
          <w:tcPr>
            <w:tcW w:type="dxa" w:w="1504"/>
            <w:vAlign w:val="center"/>
          </w:tcPr>
          <w:p>
            <w:pPr>
              <w:jc w:val="center"/>
            </w:pPr>
            <w:r>
              <w:rPr>
                <w:rFonts w:ascii="Times New Roman" w:hAnsi="Times New Roman" w:eastAsia="宋体"/>
                <w:sz w:val="17"/>
              </w:rPr>
              <w:t>0.042384</w:t>
            </w:r>
          </w:p>
        </w:tc>
        <w:tc>
          <w:tcPr>
            <w:tcW w:type="dxa" w:w="1504"/>
            <w:vAlign w:val="center"/>
          </w:tcPr>
          <w:p>
            <w:pPr>
              <w:jc w:val="center"/>
            </w:pPr>
            <w:r>
              <w:rPr>
                <w:rFonts w:ascii="Times New Roman" w:hAnsi="Times New Roman" w:eastAsia="宋体"/>
                <w:sz w:val="17"/>
              </w:rPr>
              <w:t>0.159879</w:t>
            </w:r>
          </w:p>
        </w:tc>
      </w:tr>
      <w:tr>
        <w:tc>
          <w:tcPr>
            <w:tcW w:type="dxa" w:w="1504"/>
            <w:vAlign w:val="center"/>
          </w:tcPr>
          <w:p>
            <w:pPr>
              <w:jc w:val="center"/>
            </w:pPr>
            <w:r>
              <w:rPr>
                <w:rFonts w:ascii="Times New Roman" w:hAnsi="Times New Roman" w:eastAsia="宋体"/>
                <w:sz w:val="17"/>
              </w:rPr>
              <w:t>FreEformer</w:t>
            </w:r>
          </w:p>
        </w:tc>
        <w:tc>
          <w:tcPr>
            <w:tcW w:type="dxa" w:w="1504"/>
            <w:vAlign w:val="center"/>
          </w:tcPr>
          <w:p>
            <w:pPr>
              <w:jc w:val="center"/>
            </w:pPr>
            <w:r>
              <w:rPr>
                <w:rFonts w:ascii="Times New Roman" w:hAnsi="Times New Roman" w:eastAsia="宋体"/>
                <w:sz w:val="17"/>
              </w:rPr>
              <w:t>51</w:t>
            </w:r>
          </w:p>
        </w:tc>
        <w:tc>
          <w:tcPr>
            <w:tcW w:type="dxa" w:w="1504"/>
            <w:vAlign w:val="center"/>
          </w:tcPr>
          <w:p>
            <w:pPr>
              <w:jc w:val="center"/>
            </w:pPr>
            <w:r>
              <w:rPr>
                <w:rFonts w:ascii="Times New Roman" w:hAnsi="Times New Roman" w:eastAsia="宋体"/>
                <w:sz w:val="17"/>
              </w:rPr>
              <w:t>33.31</w:t>
            </w:r>
          </w:p>
        </w:tc>
        <w:tc>
          <w:tcPr>
            <w:tcW w:type="dxa" w:w="1504"/>
            <w:vAlign w:val="center"/>
          </w:tcPr>
          <w:p>
            <w:pPr>
              <w:jc w:val="center"/>
            </w:pPr>
            <w:r>
              <w:rPr>
                <w:rFonts w:ascii="Times New Roman" w:hAnsi="Times New Roman" w:eastAsia="宋体"/>
                <w:sz w:val="17"/>
              </w:rPr>
              <w:t>20.15</w:t>
            </w:r>
          </w:p>
        </w:tc>
        <w:tc>
          <w:tcPr>
            <w:tcW w:type="dxa" w:w="1504"/>
            <w:vAlign w:val="center"/>
          </w:tcPr>
          <w:p>
            <w:pPr>
              <w:jc w:val="center"/>
            </w:pPr>
            <w:r>
              <w:rPr>
                <w:rFonts w:ascii="Times New Roman" w:hAnsi="Times New Roman" w:eastAsia="宋体"/>
                <w:sz w:val="17"/>
              </w:rPr>
              <w:t>0.040026</w:t>
            </w:r>
          </w:p>
        </w:tc>
        <w:tc>
          <w:tcPr>
            <w:tcW w:type="dxa" w:w="1504"/>
            <w:vAlign w:val="center"/>
          </w:tcPr>
          <w:p>
            <w:pPr>
              <w:jc w:val="center"/>
            </w:pPr>
            <w:r>
              <w:rPr>
                <w:rFonts w:ascii="Times New Roman" w:hAnsi="Times New Roman" w:eastAsia="宋体"/>
                <w:sz w:val="17"/>
              </w:rPr>
              <w:t>0.148139</w:t>
            </w:r>
          </w:p>
        </w:tc>
      </w:tr>
      <w:tr>
        <w:tc>
          <w:tcPr>
            <w:tcW w:type="dxa" w:w="1504"/>
            <w:vAlign w:val="center"/>
          </w:tcPr>
          <w:p>
            <w:pPr>
              <w:jc w:val="center"/>
            </w:pPr>
            <w:r>
              <w:rPr>
                <w:rFonts w:ascii="Times New Roman" w:hAnsi="Times New Roman" w:eastAsia="宋体"/>
                <w:sz w:val="17"/>
              </w:rPr>
              <w:t>MoE-Rail（本文原模型）</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19.41</w:t>
            </w:r>
          </w:p>
        </w:tc>
        <w:tc>
          <w:tcPr>
            <w:tcW w:type="dxa" w:w="1504"/>
            <w:vAlign w:val="center"/>
          </w:tcPr>
          <w:p>
            <w:pPr>
              <w:jc w:val="center"/>
            </w:pPr>
            <w:r>
              <w:rPr>
                <w:rFonts w:ascii="Times New Roman" w:hAnsi="Times New Roman" w:eastAsia="宋体"/>
                <w:sz w:val="17"/>
              </w:rPr>
              <w:t>0.037700</w:t>
            </w:r>
          </w:p>
        </w:tc>
        <w:tc>
          <w:tcPr>
            <w:tcW w:type="dxa" w:w="1504"/>
            <w:vAlign w:val="center"/>
          </w:tcPr>
          <w:p>
            <w:pPr>
              <w:jc w:val="center"/>
            </w:pPr>
            <w:r>
              <w:rPr>
                <w:rFonts w:ascii="Times New Roman" w:hAnsi="Times New Roman" w:eastAsia="宋体"/>
                <w:sz w:val="17"/>
              </w:rPr>
              <w:t>0.144000</w:t>
            </w:r>
          </w:p>
        </w:tc>
      </w:tr>
      <w:tr>
        <w:tc>
          <w:tcPr>
            <w:tcW w:type="dxa" w:w="1504"/>
          </w:tcPr>
          <w:p>
            <w:r>
              <w:rPr>
                <w:rFonts w:ascii="Times New Roman" w:hAnsi="Times New Roman" w:eastAsia="宋体"/>
                <w:sz w:val="21"/>
              </w:rPr>
              <w:t>Strict RAMR-VE</w:t>
            </w:r>
          </w:p>
        </w:tc>
        <w:tc>
          <w:tcPr>
            <w:tcW w:type="dxa" w:w="1504"/>
          </w:tcPr>
          <w:p>
            <w:r>
              <w:rPr>
                <w:rFonts w:ascii="Times New Roman" w:hAnsi="Times New Roman" w:eastAsia="宋体"/>
                <w:sz w:val="21"/>
              </w:rPr>
              <w:t>验证集集成</w:t>
            </w:r>
          </w:p>
        </w:tc>
        <w:tc>
          <w:tcPr>
            <w:tcW w:type="dxa" w:w="1504"/>
          </w:tcPr>
          <w:p>
            <w:r>
              <w:rPr>
                <w:rFonts w:ascii="Times New Roman" w:hAnsi="Times New Roman" w:eastAsia="宋体"/>
                <w:sz w:val="21"/>
              </w:rPr>
              <w:t>31.26</w:t>
            </w:r>
          </w:p>
        </w:tc>
        <w:tc>
          <w:tcPr>
            <w:tcW w:type="dxa" w:w="1504"/>
          </w:tcPr>
          <w:p>
            <w:r>
              <w:rPr>
                <w:rFonts w:ascii="Times New Roman" w:hAnsi="Times New Roman" w:eastAsia="宋体"/>
                <w:sz w:val="21"/>
              </w:rPr>
              <w:t>18.55</w:t>
            </w:r>
          </w:p>
        </w:tc>
        <w:tc>
          <w:tcPr>
            <w:tcW w:type="dxa" w:w="1504"/>
          </w:tcPr>
          <w:p>
            <w:r>
              <w:rPr>
                <w:rFonts w:ascii="Times New Roman" w:hAnsi="Times New Roman" w:eastAsia="宋体"/>
                <w:sz w:val="21"/>
              </w:rPr>
              <w:t>0.035640</w:t>
            </w:r>
          </w:p>
        </w:tc>
        <w:tc>
          <w:tcPr>
            <w:tcW w:type="dxa" w:w="1504"/>
          </w:tcPr>
          <w:p>
            <w:r>
              <w:rPr>
                <w:rFonts w:ascii="Times New Roman" w:hAnsi="Times New Roman" w:eastAsia="宋体"/>
                <w:sz w:val="21"/>
              </w:rPr>
              <w:t>0.138028</w:t>
            </w:r>
          </w:p>
        </w:tc>
      </w:tr>
    </w:tbl>
    <w:p>
      <w:r>
        <w:rPr>
          <w:rFonts w:ascii="Times New Roman" w:hAnsi="Times New Roman" w:eastAsia="宋体"/>
          <w:sz w:val="21"/>
        </w:rPr>
        <w:t>注：DLinear、PatchTST、iTransformer、TimeMixer和FreEformer均在相同铁路数据划分、lookback=6、horizon=1下重新训练；Strict RAMR-VE的checkpoint权重与尺度校准参数仅由验证集确定，测试集只用于最终一次评估。</w:t>
      </w:r>
    </w:p>
    <w:p>
      <w:pPr>
        <w:jc w:val="center"/>
      </w:pPr>
      <w:r>
        <w:rPr>
          <w:rFonts w:ascii="Times New Roman" w:hAnsi="Times New Roman" w:eastAsia="宋体"/>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宋体"/>
          <w:sz w:val="21"/>
        </w:rPr>
        <w:t>图2-1  现代强基线在铁路主数据集上的MAPE对比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宋体"/>
          <w:b w:val="0"/>
          <w:i w:val="0"/>
          <w:sz w:val="21"/>
          <w:szCs w:val="21"/>
          <w:highlight w:val="none"/>
          <w:lang w:val="en-US" w:eastAsia="zh-CN"/>
        </w:rPr>
        <w:t>评价</w:t>
      </w:r>
      <w:r>
        <w:rPr>
          <w:rFonts w:ascii="Times New Roman" w:hAnsi="Times New Roman" w:eastAsia="宋体"/>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宋体"/>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表2   消融实验性能对比</w:t>
      </w:r>
    </w:p>
    <w:p>
      <w:r>
        <w:rPr>
          <w:rFonts w:ascii="Times New Roman" w:hAnsi="Times New Roman" w:eastAsia="宋体"/>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eastAsia="宋体"/>
                <w:sz w:val="17"/>
              </w:rPr>
              <w:t>实验设置</w:t>
            </w:r>
          </w:p>
        </w:tc>
        <w:tc>
          <w:tcPr>
            <w:tcW w:type="dxa" w:w="1882"/>
          </w:tcPr>
          <w:p>
            <w:r>
              <w:rPr>
                <w:rFonts w:ascii="Times New Roman" w:hAnsi="Times New Roman" w:eastAsia="宋体"/>
                <w:sz w:val="17"/>
              </w:rPr>
              <w:t>验证MAPE/%</w:t>
            </w:r>
          </w:p>
        </w:tc>
        <w:tc>
          <w:tcPr>
            <w:tcW w:type="dxa" w:w="1882"/>
          </w:tcPr>
          <w:p>
            <w:r>
              <w:rPr>
                <w:rFonts w:ascii="Times New Roman" w:hAnsi="Times New Roman" w:eastAsia="宋体"/>
                <w:sz w:val="17"/>
              </w:rPr>
              <w:t>测试MAPE/%</w:t>
            </w:r>
          </w:p>
        </w:tc>
        <w:tc>
          <w:tcPr>
            <w:tcW w:type="dxa" w:w="1882"/>
          </w:tcPr>
          <w:p>
            <w:r>
              <w:rPr>
                <w:rFonts w:ascii="Times New Roman" w:hAnsi="Times New Roman" w:eastAsia="宋体"/>
                <w:sz w:val="17"/>
              </w:rPr>
              <w:t>MSE</w:t>
            </w:r>
          </w:p>
        </w:tc>
        <w:tc>
          <w:tcPr>
            <w:tcW w:type="dxa" w:w="1882"/>
          </w:tcPr>
          <w:p>
            <w:r>
              <w:rPr>
                <w:rFonts w:ascii="Times New Roman" w:hAnsi="Times New Roman" w:eastAsia="宋体"/>
                <w:sz w:val="17"/>
              </w:rPr>
              <w:t>MAE</w:t>
            </w:r>
          </w:p>
        </w:tc>
      </w:tr>
      <w:tr>
        <w:tc>
          <w:tcPr>
            <w:tcW w:type="dxa" w:w="1882"/>
          </w:tcPr>
          <w:p>
            <w:r>
              <w:rPr>
                <w:rFonts w:ascii="Times New Roman" w:hAnsi="Times New Roman" w:eastAsia="宋体"/>
                <w:sz w:val="17"/>
              </w:rPr>
              <w:t>RAMR完整模型（scene+regime+robust）</w:t>
            </w:r>
          </w:p>
        </w:tc>
        <w:tc>
          <w:tcPr>
            <w:tcW w:type="dxa" w:w="1882"/>
          </w:tcPr>
          <w:p>
            <w:r>
              <w:rPr>
                <w:rFonts w:ascii="Times New Roman" w:hAnsi="Times New Roman" w:eastAsia="宋体"/>
                <w:sz w:val="17"/>
              </w:rPr>
              <w:t>32.73</w:t>
            </w:r>
          </w:p>
        </w:tc>
        <w:tc>
          <w:tcPr>
            <w:tcW w:type="dxa" w:w="1882"/>
          </w:tcPr>
          <w:p>
            <w:r>
              <w:rPr>
                <w:rFonts w:ascii="Times New Roman" w:hAnsi="Times New Roman" w:eastAsia="宋体"/>
                <w:sz w:val="17"/>
              </w:rPr>
              <w:t>20.88</w:t>
            </w:r>
          </w:p>
        </w:tc>
        <w:tc>
          <w:tcPr>
            <w:tcW w:type="dxa" w:w="1882"/>
          </w:tcPr>
          <w:p>
            <w:r>
              <w:rPr>
                <w:rFonts w:ascii="Times New Roman" w:hAnsi="Times New Roman" w:eastAsia="宋体"/>
                <w:sz w:val="17"/>
              </w:rPr>
              <w:t>0.043960</w:t>
            </w:r>
          </w:p>
        </w:tc>
        <w:tc>
          <w:tcPr>
            <w:tcW w:type="dxa" w:w="1882"/>
          </w:tcPr>
          <w:p>
            <w:r>
              <w:rPr>
                <w:rFonts w:ascii="Times New Roman" w:hAnsi="Times New Roman" w:eastAsia="宋体"/>
                <w:sz w:val="17"/>
              </w:rPr>
              <w:t>0.151176</w:t>
            </w:r>
          </w:p>
        </w:tc>
      </w:tr>
      <w:tr>
        <w:tc>
          <w:tcPr>
            <w:tcW w:type="dxa" w:w="1882"/>
          </w:tcPr>
          <w:p>
            <w:r>
              <w:rPr>
                <w:rFonts w:ascii="Times New Roman" w:hAnsi="Times New Roman" w:eastAsia="宋体"/>
                <w:sz w:val="17"/>
              </w:rPr>
              <w:t>无regime路由</w:t>
            </w:r>
          </w:p>
        </w:tc>
        <w:tc>
          <w:tcPr>
            <w:tcW w:type="dxa" w:w="1882"/>
          </w:tcPr>
          <w:p>
            <w:r>
              <w:rPr>
                <w:rFonts w:ascii="Times New Roman" w:hAnsi="Times New Roman" w:eastAsia="宋体"/>
                <w:sz w:val="17"/>
              </w:rPr>
              <w:t>32.47</w:t>
            </w:r>
          </w:p>
        </w:tc>
        <w:tc>
          <w:tcPr>
            <w:tcW w:type="dxa" w:w="1882"/>
          </w:tcPr>
          <w:p>
            <w:r>
              <w:rPr>
                <w:rFonts w:ascii="Times New Roman" w:hAnsi="Times New Roman" w:eastAsia="宋体"/>
                <w:sz w:val="17"/>
              </w:rPr>
              <w:t>21.37</w:t>
            </w:r>
          </w:p>
        </w:tc>
        <w:tc>
          <w:tcPr>
            <w:tcW w:type="dxa" w:w="1882"/>
          </w:tcPr>
          <w:p>
            <w:r>
              <w:rPr>
                <w:rFonts w:ascii="Times New Roman" w:hAnsi="Times New Roman" w:eastAsia="宋体"/>
                <w:sz w:val="17"/>
              </w:rPr>
              <w:t>0.041662</w:t>
            </w:r>
          </w:p>
        </w:tc>
        <w:tc>
          <w:tcPr>
            <w:tcW w:type="dxa" w:w="1882"/>
          </w:tcPr>
          <w:p>
            <w:r>
              <w:rPr>
                <w:rFonts w:ascii="Times New Roman" w:hAnsi="Times New Roman" w:eastAsia="宋体"/>
                <w:sz w:val="17"/>
              </w:rPr>
              <w:t>0.151356</w:t>
            </w:r>
          </w:p>
        </w:tc>
      </w:tr>
      <w:tr>
        <w:tc>
          <w:tcPr>
            <w:tcW w:type="dxa" w:w="1882"/>
          </w:tcPr>
          <w:p>
            <w:r>
              <w:rPr>
                <w:rFonts w:ascii="Times New Roman" w:hAnsi="Times New Roman" w:eastAsia="宋体"/>
                <w:sz w:val="17"/>
              </w:rPr>
              <w:t>无场景门控</w:t>
            </w:r>
          </w:p>
        </w:tc>
        <w:tc>
          <w:tcPr>
            <w:tcW w:type="dxa" w:w="1882"/>
          </w:tcPr>
          <w:p>
            <w:r>
              <w:rPr>
                <w:rFonts w:ascii="Times New Roman" w:hAnsi="Times New Roman" w:eastAsia="宋体"/>
                <w:sz w:val="17"/>
              </w:rPr>
              <w:t>32.75</w:t>
            </w:r>
          </w:p>
        </w:tc>
        <w:tc>
          <w:tcPr>
            <w:tcW w:type="dxa" w:w="1882"/>
          </w:tcPr>
          <w:p>
            <w:r>
              <w:rPr>
                <w:rFonts w:ascii="Times New Roman" w:hAnsi="Times New Roman" w:eastAsia="宋体"/>
                <w:sz w:val="17"/>
              </w:rPr>
              <w:t>22.44</w:t>
            </w:r>
          </w:p>
        </w:tc>
        <w:tc>
          <w:tcPr>
            <w:tcW w:type="dxa" w:w="1882"/>
          </w:tcPr>
          <w:p>
            <w:r>
              <w:rPr>
                <w:rFonts w:ascii="Times New Roman" w:hAnsi="Times New Roman" w:eastAsia="宋体"/>
                <w:sz w:val="17"/>
              </w:rPr>
              <w:t>0.048092</w:t>
            </w:r>
          </w:p>
        </w:tc>
        <w:tc>
          <w:tcPr>
            <w:tcW w:type="dxa" w:w="1882"/>
          </w:tcPr>
          <w:p>
            <w:r>
              <w:rPr>
                <w:rFonts w:ascii="Times New Roman" w:hAnsi="Times New Roman" w:eastAsia="宋体"/>
                <w:sz w:val="17"/>
              </w:rPr>
              <w:t>0.161865</w:t>
            </w:r>
          </w:p>
        </w:tc>
      </w:tr>
      <w:tr>
        <w:tc>
          <w:tcPr>
            <w:tcW w:type="dxa" w:w="1882"/>
          </w:tcPr>
          <w:p>
            <w:r>
              <w:rPr>
                <w:rFonts w:ascii="Times New Roman" w:hAnsi="Times New Roman" w:eastAsia="宋体"/>
                <w:sz w:val="17"/>
              </w:rPr>
              <w:t>统计专家basic（mean/std/max）</w:t>
            </w:r>
          </w:p>
        </w:tc>
        <w:tc>
          <w:tcPr>
            <w:tcW w:type="dxa" w:w="1882"/>
          </w:tcPr>
          <w:p>
            <w:r>
              <w:rPr>
                <w:rFonts w:ascii="Times New Roman" w:hAnsi="Times New Roman" w:eastAsia="宋体"/>
                <w:sz w:val="17"/>
              </w:rPr>
              <w:t>33.24</w:t>
            </w:r>
          </w:p>
        </w:tc>
        <w:tc>
          <w:tcPr>
            <w:tcW w:type="dxa" w:w="1882"/>
          </w:tcPr>
          <w:p>
            <w:r>
              <w:rPr>
                <w:rFonts w:ascii="Times New Roman" w:hAnsi="Times New Roman" w:eastAsia="宋体"/>
                <w:sz w:val="17"/>
              </w:rPr>
              <w:t>19.74</w:t>
            </w:r>
          </w:p>
        </w:tc>
        <w:tc>
          <w:tcPr>
            <w:tcW w:type="dxa" w:w="1882"/>
          </w:tcPr>
          <w:p>
            <w:r>
              <w:rPr>
                <w:rFonts w:ascii="Times New Roman" w:hAnsi="Times New Roman" w:eastAsia="宋体"/>
                <w:sz w:val="17"/>
              </w:rPr>
              <w:t>0.040482</w:t>
            </w:r>
          </w:p>
        </w:tc>
        <w:tc>
          <w:tcPr>
            <w:tcW w:type="dxa" w:w="1882"/>
          </w:tcPr>
          <w:p>
            <w:r>
              <w:rPr>
                <w:rFonts w:ascii="Times New Roman" w:hAnsi="Times New Roman" w:eastAsia="宋体"/>
                <w:sz w:val="17"/>
              </w:rPr>
              <w:t>0.148277</w:t>
            </w:r>
          </w:p>
        </w:tc>
      </w:tr>
      <w:tr>
        <w:tc>
          <w:tcPr>
            <w:tcW w:type="dxa" w:w="1882"/>
          </w:tcPr>
          <w:p>
            <w:r>
              <w:rPr>
                <w:rFonts w:ascii="Times New Roman" w:hAnsi="Times New Roman" w:eastAsia="宋体"/>
                <w:sz w:val="17"/>
              </w:rPr>
              <w:t>统计专家quantile</w:t>
            </w:r>
          </w:p>
        </w:tc>
        <w:tc>
          <w:tcPr>
            <w:tcW w:type="dxa" w:w="1882"/>
          </w:tcPr>
          <w:p>
            <w:r>
              <w:rPr>
                <w:rFonts w:ascii="Times New Roman" w:hAnsi="Times New Roman" w:eastAsia="宋体"/>
                <w:sz w:val="17"/>
              </w:rPr>
              <w:t>29.79</w:t>
            </w:r>
          </w:p>
        </w:tc>
        <w:tc>
          <w:tcPr>
            <w:tcW w:type="dxa" w:w="1882"/>
          </w:tcPr>
          <w:p>
            <w:r>
              <w:rPr>
                <w:rFonts w:ascii="Times New Roman" w:hAnsi="Times New Roman" w:eastAsia="宋体"/>
                <w:sz w:val="17"/>
              </w:rPr>
              <w:t>19.96</w:t>
            </w:r>
          </w:p>
        </w:tc>
        <w:tc>
          <w:tcPr>
            <w:tcW w:type="dxa" w:w="1882"/>
          </w:tcPr>
          <w:p>
            <w:r>
              <w:rPr>
                <w:rFonts w:ascii="Times New Roman" w:hAnsi="Times New Roman" w:eastAsia="宋体"/>
                <w:sz w:val="17"/>
              </w:rPr>
              <w:t>0.039693</w:t>
            </w:r>
          </w:p>
        </w:tc>
        <w:tc>
          <w:tcPr>
            <w:tcW w:type="dxa" w:w="1882"/>
          </w:tcPr>
          <w:p>
            <w:r>
              <w:rPr>
                <w:rFonts w:ascii="Times New Roman" w:hAnsi="Times New Roman" w:eastAsia="宋体"/>
                <w:sz w:val="17"/>
              </w:rPr>
              <w:t>0.148368</w:t>
            </w:r>
          </w:p>
        </w:tc>
      </w:tr>
      <w:tr>
        <w:tc>
          <w:tcPr>
            <w:tcW w:type="dxa" w:w="1882"/>
          </w:tcPr>
          <w:p>
            <w:r>
              <w:rPr>
                <w:rFonts w:ascii="Times New Roman" w:hAnsi="Times New Roman" w:eastAsia="宋体"/>
                <w:sz w:val="17"/>
              </w:rPr>
              <w:t>方差负载均衡</w:t>
            </w:r>
          </w:p>
        </w:tc>
        <w:tc>
          <w:tcPr>
            <w:tcW w:type="dxa" w:w="1882"/>
          </w:tcPr>
          <w:p>
            <w:r>
              <w:rPr>
                <w:rFonts w:ascii="Times New Roman" w:hAnsi="Times New Roman" w:eastAsia="宋体"/>
                <w:sz w:val="17"/>
              </w:rPr>
              <w:t>32.95</w:t>
            </w:r>
          </w:p>
        </w:tc>
        <w:tc>
          <w:tcPr>
            <w:tcW w:type="dxa" w:w="1882"/>
          </w:tcPr>
          <w:p>
            <w:r>
              <w:rPr>
                <w:rFonts w:ascii="Times New Roman" w:hAnsi="Times New Roman" w:eastAsia="宋体"/>
                <w:sz w:val="17"/>
              </w:rPr>
              <w:t>20.91</w:t>
            </w:r>
          </w:p>
        </w:tc>
        <w:tc>
          <w:tcPr>
            <w:tcW w:type="dxa" w:w="1882"/>
          </w:tcPr>
          <w:p>
            <w:r>
              <w:rPr>
                <w:rFonts w:ascii="Times New Roman" w:hAnsi="Times New Roman" w:eastAsia="宋体"/>
                <w:sz w:val="17"/>
              </w:rPr>
              <w:t>0.045297</w:t>
            </w:r>
          </w:p>
        </w:tc>
        <w:tc>
          <w:tcPr>
            <w:tcW w:type="dxa" w:w="1882"/>
          </w:tcPr>
          <w:p>
            <w:r>
              <w:rPr>
                <w:rFonts w:ascii="Times New Roman" w:hAnsi="Times New Roman" w:eastAsia="宋体"/>
                <w:sz w:val="17"/>
              </w:rPr>
              <w:t>0.154411</w:t>
            </w:r>
          </w:p>
        </w:tc>
      </w:tr>
    </w:tbl>
    <w:p>
      <w:r>
        <w:rPr>
          <w:rFonts w:ascii="Times New Roman" w:hAnsi="Times New Roman" w:eastAsia="宋体"/>
          <w:sz w:val="21"/>
        </w:rPr>
        <w:t>注：测试指标均使用对应实验的验证集最优checkpoint重新评估得到；best_model_latest.pth不一定等同于验证集最优模型。</w:t>
      </w:r>
    </w:p>
    <w:p>
      <w:r>
        <w:rPr>
          <w:rFonts w:ascii="Times New Roman" w:hAnsi="Times New Roman" w:eastAsia="宋体"/>
          <w:b w:val="0"/>
          <w:sz w:val="21"/>
        </w:rPr>
        <w:t>为回应MAE指标优势不足的问题，本文进一步补充MAE-aware multi-objective training，在保持场景门控与regime路由结构不变的前提下，提高MAE项权重并降低MSE项权重，检验多指标一致性是否得到改善。</w:t>
      </w:r>
    </w:p>
    <w:p>
      <w:pPr>
        <w:jc w:val="center"/>
      </w:pPr>
      <w:r>
        <w:rPr>
          <w:rFonts w:ascii="Times New Roman" w:hAnsi="Times New Roman" w:eastAsia="宋体"/>
          <w:b w:val="0"/>
          <w:sz w:val="21"/>
        </w:rPr>
        <w:t>表2-2  MAE导向多目标补充实验结果（测试集）</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模型</w:t>
            </w:r>
          </w:p>
        </w:tc>
        <w:tc>
          <w:tcPr>
            <w:tcW w:type="dxa" w:w="1805"/>
            <w:vAlign w:val="center"/>
          </w:tcPr>
          <w:p>
            <w:pPr>
              <w:jc w:val="center"/>
            </w:pPr>
            <w:r>
              <w:rPr>
                <w:rFonts w:ascii="Times New Roman" w:hAnsi="Times New Roman" w:eastAsia="宋体"/>
                <w:b/>
                <w:sz w:val="17"/>
              </w:rPr>
              <w:t>测试MAPE/%</w:t>
            </w:r>
          </w:p>
        </w:tc>
        <w:tc>
          <w:tcPr>
            <w:tcW w:type="dxa" w:w="1805"/>
            <w:vAlign w:val="center"/>
          </w:tcPr>
          <w:p>
            <w:pPr>
              <w:jc w:val="center"/>
            </w:pPr>
            <w:r>
              <w:rPr>
                <w:rFonts w:ascii="Times New Roman" w:hAnsi="Times New Roman" w:eastAsia="宋体"/>
                <w:b/>
                <w:sz w:val="17"/>
              </w:rPr>
              <w:t>MSE</w:t>
            </w:r>
          </w:p>
        </w:tc>
        <w:tc>
          <w:tcPr>
            <w:tcW w:type="dxa" w:w="1805"/>
            <w:vAlign w:val="center"/>
          </w:tcPr>
          <w:p>
            <w:pPr>
              <w:jc w:val="center"/>
            </w:pPr>
            <w:r>
              <w:rPr>
                <w:rFonts w:ascii="Times New Roman" w:hAnsi="Times New Roman" w:eastAsia="宋体"/>
                <w:b/>
                <w:sz w:val="17"/>
              </w:rPr>
              <w:t>MAE</w:t>
            </w:r>
          </w:p>
        </w:tc>
        <w:tc>
          <w:tcPr>
            <w:tcW w:type="dxa" w:w="1805"/>
            <w:vAlign w:val="center"/>
          </w:tcPr>
          <w:p>
            <w:pPr>
              <w:jc w:val="center"/>
            </w:pPr>
            <w:r>
              <w:rPr>
                <w:rFonts w:ascii="Times New Roman" w:hAnsi="Times New Roman" w:eastAsia="宋体"/>
                <w:b/>
                <w:sz w:val="17"/>
              </w:rPr>
              <w:t>说明</w:t>
            </w:r>
          </w:p>
        </w:tc>
      </w:tr>
      <w:tr>
        <w:tc>
          <w:tcPr>
            <w:tcW w:type="dxa" w:w="1805"/>
            <w:vAlign w:val="center"/>
          </w:tcPr>
          <w:p>
            <w:pPr>
              <w:jc w:val="center"/>
            </w:pPr>
            <w:r>
              <w:rPr>
                <w:rFonts w:ascii="Times New Roman" w:hAnsi="Times New Roman" w:eastAsia="宋体"/>
                <w:b w:val="0"/>
                <w:sz w:val="17"/>
              </w:rPr>
              <w:t>原RAMR完整模型</w:t>
            </w:r>
          </w:p>
        </w:tc>
        <w:tc>
          <w:tcPr>
            <w:tcW w:type="dxa" w:w="1805"/>
            <w:vAlign w:val="center"/>
          </w:tcPr>
          <w:p>
            <w:pPr>
              <w:jc w:val="center"/>
            </w:pPr>
            <w:r>
              <w:rPr>
                <w:rFonts w:ascii="Times New Roman" w:hAnsi="Times New Roman" w:eastAsia="宋体"/>
                <w:b w:val="0"/>
                <w:sz w:val="17"/>
              </w:rPr>
              <w:t>20.88</w:t>
            </w:r>
          </w:p>
        </w:tc>
        <w:tc>
          <w:tcPr>
            <w:tcW w:type="dxa" w:w="1805"/>
            <w:vAlign w:val="center"/>
          </w:tcPr>
          <w:p>
            <w:pPr>
              <w:jc w:val="center"/>
            </w:pPr>
            <w:r>
              <w:rPr>
                <w:rFonts w:ascii="Times New Roman" w:hAnsi="Times New Roman" w:eastAsia="宋体"/>
                <w:b w:val="0"/>
                <w:sz w:val="17"/>
              </w:rPr>
              <w:t>0.043960</w:t>
            </w:r>
          </w:p>
        </w:tc>
        <w:tc>
          <w:tcPr>
            <w:tcW w:type="dxa" w:w="1805"/>
            <w:vAlign w:val="center"/>
          </w:tcPr>
          <w:p>
            <w:pPr>
              <w:jc w:val="center"/>
            </w:pPr>
            <w:r>
              <w:rPr>
                <w:rFonts w:ascii="Times New Roman" w:hAnsi="Times New Roman" w:eastAsia="宋体"/>
                <w:b w:val="0"/>
                <w:sz w:val="17"/>
              </w:rPr>
              <w:t>0.151176</w:t>
            </w:r>
          </w:p>
        </w:tc>
        <w:tc>
          <w:tcPr>
            <w:tcW w:type="dxa" w:w="1805"/>
            <w:vAlign w:val="center"/>
          </w:tcPr>
          <w:p>
            <w:pPr>
              <w:jc w:val="center"/>
            </w:pPr>
            <w:r>
              <w:rPr>
                <w:rFonts w:ascii="Times New Roman" w:hAnsi="Times New Roman" w:eastAsia="宋体"/>
                <w:b w:val="0"/>
                <w:sz w:val="17"/>
              </w:rPr>
              <w:t>scene+regime+robust</w:t>
            </w:r>
          </w:p>
        </w:tc>
      </w:tr>
      <w:tr>
        <w:tc>
          <w:tcPr>
            <w:tcW w:type="dxa" w:w="1805"/>
            <w:vAlign w:val="center"/>
          </w:tcPr>
          <w:p>
            <w:pPr>
              <w:jc w:val="center"/>
            </w:pPr>
            <w:r>
              <w:rPr>
                <w:rFonts w:ascii="Times New Roman" w:hAnsi="Times New Roman" w:eastAsia="宋体"/>
                <w:b w:val="0"/>
                <w:sz w:val="17"/>
              </w:rPr>
              <w:t>RAMR-MAE-basic</w:t>
            </w:r>
          </w:p>
        </w:tc>
        <w:tc>
          <w:tcPr>
            <w:tcW w:type="dxa" w:w="1805"/>
            <w:vAlign w:val="center"/>
          </w:tcPr>
          <w:p>
            <w:pPr>
              <w:jc w:val="center"/>
            </w:pPr>
            <w:r>
              <w:rPr>
                <w:rFonts w:ascii="Times New Roman" w:hAnsi="Times New Roman" w:eastAsia="宋体"/>
                <w:b w:val="0"/>
                <w:sz w:val="17"/>
              </w:rPr>
              <w:t>20.33</w:t>
            </w:r>
          </w:p>
        </w:tc>
        <w:tc>
          <w:tcPr>
            <w:tcW w:type="dxa" w:w="1805"/>
            <w:vAlign w:val="center"/>
          </w:tcPr>
          <w:p>
            <w:pPr>
              <w:jc w:val="center"/>
            </w:pPr>
            <w:r>
              <w:rPr>
                <w:rFonts w:ascii="Times New Roman" w:hAnsi="Times New Roman" w:eastAsia="宋体"/>
                <w:b w:val="0"/>
                <w:sz w:val="17"/>
              </w:rPr>
              <w:t>0.039290</w:t>
            </w:r>
          </w:p>
        </w:tc>
        <w:tc>
          <w:tcPr>
            <w:tcW w:type="dxa" w:w="1805"/>
            <w:vAlign w:val="center"/>
          </w:tcPr>
          <w:p>
            <w:pPr>
              <w:jc w:val="center"/>
            </w:pPr>
            <w:r>
              <w:rPr>
                <w:rFonts w:ascii="Times New Roman" w:hAnsi="Times New Roman" w:eastAsia="宋体"/>
                <w:b w:val="0"/>
                <w:sz w:val="17"/>
              </w:rPr>
              <w:t>0.149355</w:t>
            </w:r>
          </w:p>
        </w:tc>
        <w:tc>
          <w:tcPr>
            <w:tcW w:type="dxa" w:w="1805"/>
            <w:vAlign w:val="center"/>
          </w:tcPr>
          <w:p>
            <w:pPr>
              <w:jc w:val="center"/>
            </w:pPr>
            <w:r>
              <w:rPr>
                <w:rFonts w:ascii="Times New Roman" w:hAnsi="Times New Roman" w:eastAsia="宋体"/>
                <w:b w:val="0"/>
                <w:sz w:val="17"/>
              </w:rPr>
              <w:t>提高MAE权重，basic统计特征</w:t>
            </w:r>
          </w:p>
        </w:tc>
      </w:tr>
      <w:tr>
        <w:tc>
          <w:tcPr>
            <w:tcW w:type="dxa" w:w="1805"/>
            <w:vAlign w:val="center"/>
          </w:tcPr>
          <w:p>
            <w:pPr>
              <w:jc w:val="center"/>
            </w:pPr>
            <w:r>
              <w:rPr>
                <w:rFonts w:ascii="Times New Roman" w:hAnsi="Times New Roman" w:eastAsia="宋体"/>
                <w:b w:val="0"/>
                <w:sz w:val="17"/>
              </w:rPr>
              <w:t>RAMR-MAE-basic-mape</w:t>
            </w:r>
          </w:p>
        </w:tc>
        <w:tc>
          <w:tcPr>
            <w:tcW w:type="dxa" w:w="1805"/>
            <w:vAlign w:val="center"/>
          </w:tcPr>
          <w:p>
            <w:pPr>
              <w:jc w:val="center"/>
            </w:pPr>
            <w:r>
              <w:rPr>
                <w:rFonts w:ascii="Times New Roman" w:hAnsi="Times New Roman" w:eastAsia="宋体"/>
                <w:b w:val="0"/>
                <w:sz w:val="17"/>
              </w:rPr>
              <w:t>20.34</w:t>
            </w:r>
          </w:p>
        </w:tc>
        <w:tc>
          <w:tcPr>
            <w:tcW w:type="dxa" w:w="1805"/>
            <w:vAlign w:val="center"/>
          </w:tcPr>
          <w:p>
            <w:pPr>
              <w:jc w:val="center"/>
            </w:pPr>
            <w:r>
              <w:rPr>
                <w:rFonts w:ascii="Times New Roman" w:hAnsi="Times New Roman" w:eastAsia="宋体"/>
                <w:b w:val="0"/>
                <w:sz w:val="17"/>
              </w:rPr>
              <w:t>0.040598</w:t>
            </w:r>
          </w:p>
        </w:tc>
        <w:tc>
          <w:tcPr>
            <w:tcW w:type="dxa" w:w="1805"/>
            <w:vAlign w:val="center"/>
          </w:tcPr>
          <w:p>
            <w:pPr>
              <w:jc w:val="center"/>
            </w:pPr>
            <w:r>
              <w:rPr>
                <w:rFonts w:ascii="Times New Roman" w:hAnsi="Times New Roman" w:eastAsia="宋体"/>
                <w:b w:val="0"/>
                <w:sz w:val="17"/>
              </w:rPr>
              <w:t>0.148552</w:t>
            </w:r>
          </w:p>
        </w:tc>
        <w:tc>
          <w:tcPr>
            <w:tcW w:type="dxa" w:w="1805"/>
            <w:vAlign w:val="center"/>
          </w:tcPr>
          <w:p>
            <w:pPr>
              <w:jc w:val="center"/>
            </w:pPr>
            <w:r>
              <w:rPr>
                <w:rFonts w:ascii="Times New Roman" w:hAnsi="Times New Roman" w:eastAsia="宋体"/>
                <w:b w:val="0"/>
                <w:sz w:val="17"/>
              </w:rPr>
              <w:t>MAE与MAPE折中</w:t>
            </w:r>
          </w:p>
        </w:tc>
      </w:tr>
      <w:tr>
        <w:tc>
          <w:tcPr>
            <w:tcW w:type="dxa" w:w="1805"/>
            <w:vAlign w:val="center"/>
          </w:tcPr>
          <w:p>
            <w:pPr>
              <w:jc w:val="center"/>
            </w:pPr>
            <w:r>
              <w:rPr>
                <w:rFonts w:ascii="Times New Roman" w:hAnsi="Times New Roman" w:eastAsia="宋体"/>
                <w:b w:val="0"/>
                <w:sz w:val="17"/>
              </w:rPr>
              <w:t>MoE-Rail原模型</w:t>
            </w:r>
          </w:p>
        </w:tc>
        <w:tc>
          <w:tcPr>
            <w:tcW w:type="dxa" w:w="1805"/>
            <w:vAlign w:val="center"/>
          </w:tcPr>
          <w:p>
            <w:pPr>
              <w:jc w:val="center"/>
            </w:pPr>
            <w:r>
              <w:rPr>
                <w:rFonts w:ascii="Times New Roman" w:hAnsi="Times New Roman" w:eastAsia="宋体"/>
                <w:b w:val="0"/>
                <w:sz w:val="17"/>
              </w:rPr>
              <w:t>19.41</w:t>
            </w:r>
          </w:p>
        </w:tc>
        <w:tc>
          <w:tcPr>
            <w:tcW w:type="dxa" w:w="1805"/>
            <w:vAlign w:val="center"/>
          </w:tcPr>
          <w:p>
            <w:pPr>
              <w:jc w:val="center"/>
            </w:pPr>
            <w:r>
              <w:rPr>
                <w:rFonts w:ascii="Times New Roman" w:hAnsi="Times New Roman" w:eastAsia="宋体"/>
                <w:b w:val="0"/>
                <w:sz w:val="17"/>
              </w:rPr>
              <w:t>0.037700</w:t>
            </w:r>
          </w:p>
        </w:tc>
        <w:tc>
          <w:tcPr>
            <w:tcW w:type="dxa" w:w="1805"/>
            <w:vAlign w:val="center"/>
          </w:tcPr>
          <w:p>
            <w:pPr>
              <w:jc w:val="center"/>
            </w:pPr>
            <w:r>
              <w:rPr>
                <w:rFonts w:ascii="Times New Roman" w:hAnsi="Times New Roman" w:eastAsia="宋体"/>
                <w:b w:val="0"/>
                <w:sz w:val="17"/>
              </w:rPr>
              <w:t>0.144000</w:t>
            </w:r>
          </w:p>
        </w:tc>
        <w:tc>
          <w:tcPr>
            <w:tcW w:type="dxa" w:w="1805"/>
            <w:vAlign w:val="center"/>
          </w:tcPr>
          <w:p>
            <w:r>
              <w:rPr>
                <w:rFonts w:ascii="Times New Roman" w:hAnsi="Times New Roman" w:eastAsia="宋体"/>
                <w:sz w:val="21"/>
              </w:rPr>
              <w:t>原论文结果</w:t>
            </w:r>
          </w:p>
        </w:tc>
      </w:tr>
      <w:tr>
        <w:tc>
          <w:tcPr>
            <w:tcW w:type="dxa" w:w="1805"/>
            <w:vAlign w:val="center"/>
          </w:tcPr>
          <w:p>
            <w:pPr>
              <w:jc w:val="center"/>
            </w:pPr>
            <w:r>
              <w:rPr>
                <w:rFonts w:ascii="Times New Roman" w:hAnsi="Times New Roman" w:eastAsia="宋体"/>
                <w:b w:val="0"/>
                <w:sz w:val="17"/>
              </w:rPr>
              <w:t>FreEformer</w:t>
            </w:r>
          </w:p>
        </w:tc>
        <w:tc>
          <w:tcPr>
            <w:tcW w:type="dxa" w:w="1805"/>
            <w:vAlign w:val="center"/>
          </w:tcPr>
          <w:p>
            <w:pPr>
              <w:jc w:val="center"/>
            </w:pPr>
            <w:r>
              <w:rPr>
                <w:rFonts w:ascii="Times New Roman" w:hAnsi="Times New Roman" w:eastAsia="宋体"/>
                <w:b w:val="0"/>
                <w:sz w:val="17"/>
              </w:rPr>
              <w:t>20.15</w:t>
            </w:r>
          </w:p>
        </w:tc>
        <w:tc>
          <w:tcPr>
            <w:tcW w:type="dxa" w:w="1805"/>
            <w:vAlign w:val="center"/>
          </w:tcPr>
          <w:p>
            <w:pPr>
              <w:jc w:val="center"/>
            </w:pPr>
            <w:r>
              <w:rPr>
                <w:rFonts w:ascii="Times New Roman" w:hAnsi="Times New Roman" w:eastAsia="宋体"/>
                <w:b w:val="0"/>
                <w:sz w:val="17"/>
              </w:rPr>
              <w:t>0.040026</w:t>
            </w:r>
          </w:p>
        </w:tc>
        <w:tc>
          <w:tcPr>
            <w:tcW w:type="dxa" w:w="1805"/>
            <w:vAlign w:val="center"/>
          </w:tcPr>
          <w:p>
            <w:pPr>
              <w:jc w:val="center"/>
            </w:pPr>
            <w:r>
              <w:rPr>
                <w:rFonts w:ascii="Times New Roman" w:hAnsi="Times New Roman" w:eastAsia="宋体"/>
                <w:b w:val="0"/>
                <w:sz w:val="17"/>
              </w:rPr>
              <w:t>0.148139</w:t>
            </w:r>
          </w:p>
        </w:tc>
        <w:tc>
          <w:tcPr>
            <w:tcW w:type="dxa" w:w="1805"/>
            <w:vAlign w:val="center"/>
          </w:tcPr>
          <w:p>
            <w:pPr>
              <w:jc w:val="center"/>
            </w:pPr>
            <w:r>
              <w:rPr>
                <w:rFonts w:ascii="Times New Roman" w:hAnsi="Times New Roman" w:eastAsia="宋体"/>
                <w:b w:val="0"/>
                <w:sz w:val="17"/>
              </w:rPr>
              <w:t>现代强基线最优</w:t>
            </w:r>
          </w:p>
        </w:tc>
      </w:tr>
      <w:tr>
        <w:tc>
          <w:tcPr>
            <w:tcW w:type="dxa" w:w="1805"/>
          </w:tcPr>
          <w:p>
            <w:r>
              <w:rPr>
                <w:rFonts w:ascii="Times New Roman" w:hAnsi="Times New Roman" w:eastAsia="宋体"/>
                <w:sz w:val="21"/>
              </w:rPr>
              <w:t>Strict RAMR-VE</w:t>
            </w:r>
          </w:p>
        </w:tc>
        <w:tc>
          <w:tcPr>
            <w:tcW w:type="dxa" w:w="1805"/>
          </w:tcPr>
          <w:p>
            <w:r>
              <w:rPr>
                <w:rFonts w:ascii="Times New Roman" w:hAnsi="Times New Roman" w:eastAsia="宋体"/>
                <w:sz w:val="21"/>
              </w:rPr>
              <w:t>18.55</w:t>
            </w:r>
          </w:p>
        </w:tc>
        <w:tc>
          <w:tcPr>
            <w:tcW w:type="dxa" w:w="1805"/>
          </w:tcPr>
          <w:p>
            <w:r>
              <w:rPr>
                <w:rFonts w:ascii="Times New Roman" w:hAnsi="Times New Roman" w:eastAsia="宋体"/>
                <w:sz w:val="21"/>
              </w:rPr>
              <w:t>0.035640</w:t>
            </w:r>
          </w:p>
        </w:tc>
        <w:tc>
          <w:tcPr>
            <w:tcW w:type="dxa" w:w="1805"/>
          </w:tcPr>
          <w:p>
            <w:r>
              <w:rPr>
                <w:rFonts w:ascii="Times New Roman" w:hAnsi="Times New Roman" w:eastAsia="宋体"/>
                <w:sz w:val="21"/>
              </w:rPr>
              <w:t>0.138028</w:t>
            </w:r>
          </w:p>
        </w:tc>
        <w:tc>
          <w:tcPr>
            <w:tcW w:type="dxa" w:w="1805"/>
          </w:tcPr>
          <w:p>
            <w:r>
              <w:rPr>
                <w:rFonts w:ascii="Times New Roman" w:hAnsi="Times New Roman" w:eastAsia="宋体"/>
                <w:sz w:val="21"/>
              </w:rPr>
              <w:t>验证集选权重与尺度，测试集最终一次评估</w:t>
            </w:r>
          </w:p>
        </w:tc>
      </w:tr>
    </w:tbl>
    <w:p>
      <w:r>
        <w:rPr>
          <w:rFonts w:ascii="Times New Roman" w:hAnsi="Times New Roman" w:eastAsia="宋体"/>
          <w:sz w:val="21"/>
        </w:rPr>
        <w:t>由表2-2可见，MAE导向训练能够缓解RAMR完整模型的平均绝对误差弱项：RAMR-MAE-basic-mape将MAE由0.151176降至0.148552，同时MAPE由20.88%降至20.34%。单模型目标函数调整仍存在MAPE、MSE和MAE之间的权衡。进一步地，本文采用严格无泄露验证集集成（Strict RAMR-VE），仅利用验证集确定checkpoint权重与尺度校准参数，最终在测试集取得MAPE=18.55%、MSE=0.035640、MAE=0.138028，三项指标均优于原MoE-Rail。</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宋体"/>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宋体"/>
                <w:sz w:val="17"/>
                <w:szCs w:val="18"/>
                <w:highlight w:val="none"/>
              </w:rPr>
              <w:t>移除的专家</w:t>
            </w:r>
            <w:r>
              <w:rPr>
                <w:rFonts w:hint="eastAsia" w:ascii="Times New Roman" w:hAnsi="Times New Roman" w:eastAsia="宋体"/>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宋体"/>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宋体"/>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宋体"/>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宋体" w:cs="Times New Roman"/>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宋体"/>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宋体"/>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宋体"/>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宋体"/>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宋体" w:cs="Segoe UI"/>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r>
              <w:rPr>
                <w:rFonts w:ascii="Times New Roman" w:hAnsi="Times New Roman" w:eastAsia="宋体"/>
                <w:sz w:val="21"/>
              </w:rPr>
              <w:t>MoE-Rail (w/o Shift)</w:t>
            </w:r>
          </w:p>
        </w:tc>
        <w:tc>
          <w:tcPr>
            <w:tcW w:w="1003" w:type="pct"/>
            <w:tcBorders>
              <w:top w:val="nil"/>
              <w:left w:val="nil"/>
              <w:bottom w:val="nil"/>
              <w:right w:val="nil"/>
            </w:tcBorders>
            <w:vAlign w:val="center"/>
          </w:tcPr>
          <w:p>
            <w:r>
              <w:rPr>
                <w:rFonts w:ascii="Times New Roman" w:hAnsi="Times New Roman" w:eastAsia="宋体"/>
                <w:sz w:val="21"/>
              </w:rPr>
              <w:t>分布偏移专家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宋体"/>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宋体"/>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宋体"/>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宋体"/>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宋体"/>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宋体"/>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宋体"/>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宋体"/>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宋体"/>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宋体"/>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宋体"/>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+1.28%</w:t>
            </w:r>
          </w:p>
        </w:tc>
      </w:tr>
    </w:tbl>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宋体"/>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宋体"/>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对测试集各站点客流序列进行趋势、周期与残差扰动分解，并同步记录RAMR输出的短期、长期与分布偏移专家门控权重。由于节假日样本数有限，门控解释以场景箱线图、时序对照和波动率-权重散点图为主，并报告统计检验结果；若单站线性相关不显著，则不做过度因果解释。</w:t>
      </w:r>
    </w:p>
    <w:p w14:paraId="239E92C0">
      <w:pPr>
        <w:spacing w:before="0" w:after="0" w:line="360" w:lineRule="auto"/>
        <w:ind w:firstLine="0"/>
        <w:jc w:val="center"/>
        <w:rPr>
          <w:highlight w:val="none"/>
        </w:rPr>
      </w:pPr>
      <w:r>
        <w:rPr>
          <w:rFonts w:ascii="Times New Roman" w:hAnsi="Times New Roman" w:eastAsia="宋体"/>
          <w:b w:val="0"/>
          <w:i w:val="0"/>
          <w:sz w:val="21"/>
          <w:highlight w:val="none"/>
        </w:rPr>
        <w:t>表3汇总三类日历场景下各专家门控权重的样本均值，用于刻画场景感知门控的整体路由倾向。</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宋体"/>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1A2091EA">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667D927F">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长期专家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57FEC3D9">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短期专家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r>
              <w:rPr>
                <w:rFonts w:hint="default" w:ascii="Times New Roman" w:hAnsi="Times New Roman" w:eastAsia="宋体"/>
                <w:sz w:val="17"/>
                <w:szCs w:val="18"/>
                <w:highlight w:val="none"/>
                <w:lang w:val="en-US" w:eastAsia="zh-CN"/>
              </w:rPr>
              <w:t>​</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690CED1">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统计专家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66CB3A15">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62414113">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0.6237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3BBFA8AF">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0.0853</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2251E0FD">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0.2910</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14:paraId="44DC6A56">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14:paraId="0A44F137">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0.5598</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14:paraId="71B80FE2">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0.0505</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14:paraId="436D45B0">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0.3897</w:t>
            </w:r>
          </w:p>
        </w:tc>
      </w:tr>
      <w:tr w14:paraId="22E7AA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6D33DBC8">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节假日</w:t>
            </w:r>
          </w:p>
        </w:tc>
        <w:tc>
          <w:tcPr>
            <w:tcW w:w="133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7F2F147D">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0.3847</w:t>
            </w:r>
          </w:p>
        </w:tc>
        <w:tc>
          <w:tcPr>
            <w:tcW w:w="134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54894962">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0.1755</w:t>
            </w:r>
          </w:p>
        </w:tc>
        <w:tc>
          <w:tcPr>
            <w:tcW w:w="133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64DA49A5">
            <w:pPr>
              <w:spacing w:line="240" w:lineRule="exact"/>
              <w:jc w:val="center"/>
              <w:rPr>
                <w:rFonts w:hint="default"/>
                <w:sz w:val="18"/>
                <w:szCs w:val="18"/>
                <w:highlight w:val="none"/>
              </w:rPr>
            </w:pPr>
            <w:r>
              <w:rPr>
                <w:rFonts w:hint="default" w:ascii="Times New Roman" w:hAnsi="Times New Roman" w:eastAsia="宋体"/>
                <w:b/>
                <w:bCs/>
                <w:sz w:val="17"/>
                <w:szCs w:val="18"/>
                <w:highlight w:val="none"/>
                <w:lang w:val="en-US" w:eastAsia="zh-CN"/>
              </w:rPr>
              <w:t>0.4398</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宋体"/>
          <w:sz w:val="21"/>
        </w:rPr>
        <w:t>由表3可知，工作日长期专家权重为0.6237，高于统计/分布偏移专家的0.2910，表明常规日期预测主要依赖趋势性与周期性成分；节假日统计/分布偏移专家权重升至0.4398，长期专家权重降至0.3847，说明门控在非常规日历场景下会提高扰动相关专家的融合比例。该结果反映的是窗口级分布变化的响应，不能单独识别极端天气或具体突发事件成因。</w:t>
      </w:r>
    </w:p>
    <w:p w14:paraId="1481DD99">
      <w:pPr>
        <w:spacing w:after="120" w:line="360" w:lineRule="auto"/>
        <w:ind w:firstLine="420"/>
        <w:jc w:val="both"/>
        <w:rPr>
          <w:highlight w:val="none"/>
        </w:rPr>
      </w:pPr>
      <w:r>
        <w:rPr>
          <w:rFonts w:ascii="Times New Roman" w:hAnsi="Times New Roman" w:eastAsia="宋体"/>
          <w:b w:val="0"/>
          <w:i w:val="0"/>
          <w:sz w:val="21"/>
          <w:highlight w:val="none"/>
        </w:rPr>
        <w:t>在表3所揭示的均值差异基础上，表4进一步给出节假日与工作日子集的假设检验结果。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宋体"/>
          <w:sz w:val="21"/>
        </w:rPr>
        <w:t>表4   节假日 vs 工作日分布偏移专家门控权重t检验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27E86AE">
            <w:pPr>
              <w:keepNext/>
              <w:snapToGrid w:val="0"/>
              <w:spacing w:line="240" w:lineRule="auto"/>
              <w:ind w:left="0" w:leftChars="0" w:right="0" w:rightChars="0" w:firstLine="0" w:firstLineChars="0"/>
              <w:jc w:val="center"/>
              <w:rPr>
                <w:rFonts w:hint="eastAsia"/>
                <w:b/>
                <w:sz w:val="18"/>
                <w:szCs w:val="18"/>
                <w:highlight w:val="none"/>
                <w:lang w:val="en-US" w:eastAsia="zh-CN"/>
              </w:rPr>
            </w:pPr>
            <w:r>
              <w:rPr>
                <w:rFonts w:hint="default" w:ascii="Times New Roman" w:hAnsi="Times New Roman" w:eastAsia="宋体"/>
                <w:b/>
                <w:sz w:val="17"/>
                <w:szCs w:val="18"/>
                <w:highlight w:val="none"/>
                <w:lang w:val="en-US" w:eastAsia="zh-CN"/>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735AE623">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节假日均值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8588280">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5B4AD54D">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eastAsia" w:ascii="Times New Roman" w:hAnsi="Times New Roman" w:eastAsia="宋体"/>
                <w:b/>
                <w:sz w:val="17"/>
                <w:szCs w:val="18"/>
                <w:highlight w:val="none"/>
                <w:lang w:val="en-US" w:eastAsia="zh-CN"/>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1B7B5E79">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分布偏移专家权重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32EC01E0">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0.4398</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4517D816">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0.2910</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67A9C02B">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2.771</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197E75C1">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0.0065</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表4显示，在该统计口径下节假日统计/分布偏移专家权重均值（0.4398）高于工作日（0.2910），t=2.771，p=0.0065。该结果支持门控权重存在场景差异，但本文仅将其解释为对日历场景下分布偏移的模型响应，不将其等同于对具体外部事件的因果识别。</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宋体"/>
          <w:b w:val="0"/>
          <w:i w:val="0"/>
          <w:sz w:val="21"/>
          <w:highlight w:val="none"/>
        </w:rPr>
        <w:t>均值统计难以反映权重的离散程度与极端样本行为。图3以箱线图展示三类场景下各专家门控权重的完整分布，以补充表3的聚合描述。</w:t>
      </w:r>
    </w:p>
    <w:p w14:paraId="509101F8">
      <w:pPr>
        <w:jc w:val="center"/>
        <w:rPr>
          <w:highlight w:val="none"/>
        </w:rPr>
      </w:pPr>
      <w:r>
        <w:rPr>
          <w:rFonts w:ascii="Times New Roman" w:hAnsi="Times New Roman" w:eastAsia="宋体"/>
          <w:sz w:val="21"/>
          <w:highlight w:val="none"/>
        </w:rPr>
        <w:drawing>
          <wp:inline distT="0" distB="0" distL="114300" distR="114300">
            <wp:extent cx="5039995" cy="179641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9"/>
                    <a:srcRect t="8476"/>
                    <a:stretch>
                      <a:fillRect/>
                    </a:stretch>
                  </pic:blipFill>
                  <pic:spPr>
                    <a:xfrm>
                      <a:off x="0" y="0"/>
                      <a:ext cx="5040000" cy="1796415"/>
                    </a:xfrm>
                    <a:prstGeom prst="rect">
                      <a:avLst/>
                    </a:prstGeom>
                  </pic:spPr>
                </pic:pic>
              </a:graphicData>
            </a:graphic>
          </wp:inline>
        </w:drawing>
      </w:r>
    </w:p>
    <w:p w14:paraId="79C6D32F">
      <w:pPr>
        <w:spacing w:before="0" w:after="0" w:line="360" w:lineRule="auto"/>
        <w:ind w:firstLine="0"/>
        <w:jc w:val="center"/>
        <w:rPr>
          <w:highlight w:val="none"/>
        </w:rPr>
      </w:pPr>
      <w:r>
        <w:rPr>
          <w:rFonts w:ascii="Times New Roman" w:hAnsi="Times New Roman" w:eastAsia="宋体"/>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宋体"/>
          <w:sz w:val="21"/>
        </w:rPr>
        <w:t>由图3可见，节假日样本中统计/分布偏移专家权重的中位数与上四分位高于工作日，且分布跨度更大；长期专家权重在节假日整体下移，与工作日的集中高权重形成对照。该分布级证据与表3一致，表明门控路由能够随日历场景调整专家组合。</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宋体"/>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宋体"/>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宋体"/>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宋体"/>
          <w:b/>
          <w:i w:val="0"/>
          <w:sz w:val="21"/>
          <w:highlight w:val="none"/>
        </w:rPr>
        <w:t>图4  STL分解与专家门控权重对照分析</w:t>
      </w:r>
    </w:p>
    <w:p>
      <w:r>
        <w:rPr>
          <w:rFonts w:ascii="Times New Roman" w:hAnsi="Times New Roman" w:eastAsia="宋体"/>
          <w:sz w:val="21"/>
        </w:rPr>
        <w:t>图6  RAMR不同场景下专家门控权重箱线图</w:t>
      </w:r>
    </w:p>
    <w:p>
      <w:r>
        <w:rPr>
          <w:rFonts w:ascii="Times New Roman" w:hAnsi="Times New Roman" w:eastAsia="宋体"/>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宋体"/>
          <w:sz w:val="21"/>
        </w:rPr>
        <w:t>图7  分解分量与专家门控权重对照图</w:t>
      </w:r>
    </w:p>
    <w:p>
      <w:r>
        <w:rPr>
          <w:rFonts w:ascii="Times New Roman" w:hAnsi="Times New Roman" w:eastAsia="宋体"/>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宋体"/>
          <w:sz w:val="21"/>
        </w:rPr>
        <w:t>图8  波动率与短期专家权重关系图</w:t>
      </w:r>
    </w:p>
    <w:p>
      <w:r>
        <w:rPr>
          <w:rFonts w:ascii="Times New Roman" w:hAnsi="Times New Roman" w:eastAsia="宋体"/>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图4表明，专家权重随测试时段存在动态变化，分布偏移专家在部分非常规区段权重抬升，长期专家在相对平稳区段占据较高权重。补充的波动率-短期专家权重分析在北京南_from_nj上得到Pearson r=0.036、p=0.601，未呈现显著线性相关。因此，本文将短期专家解释为可被局部迁移调用的功能专家，而不将其平均权重或单站线性相关作为唯一证据。</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综上，门控权重统计、箱线图和时序对照共同说明模型存在“场景条件—专家路由”的可解释响应。需要指出的是，窗口统计特征只能刻画客流分布偏移，不能替代天气、活动、运营管制等外生变量；因此本文将其定位为分布扰动代理建模，并在结论中限制泛化和事件解释的表述边界。</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宋体"/>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宋体"/>
          <w:b w:val="0"/>
          <w:i w:val="0"/>
          <w:sz w:val="21"/>
          <w:highlight w:val="none"/>
        </w:rPr>
        <w:t>实验严格遵循论文中描述的设置：以最后一列“OT”作为预测目标，采用70%/10%/20%的时间顺序划分训练/验证/测试集，并针对四个不同的预测窗口长度（τ∈ {96, 192, 336, 720}，分别对应未来4天、8天、14天和30天的小时级预测）独立训练模型，为了综合评估模型在不同预测步长下的稳健性，表5报告了上述四个预测窗口下测试结果的平均值。我们将MoE-Rail与当前先进的基线模型（包括PatchTST[20]、TimeMixer[21]、iTransformer[22]和FreEformer[23]）进行了对比。实验结果如图5所示。MoE-Rail在Traffic数据集上MSE为0.293，MAE为0.354。在MSE指标上，MoE-Rail在Traffic数据集上取得最优表现，表明多专家解耦结构可学习跨场景通用时序规律。</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宋体"/>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宋体"/>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宋体"/>
                <w:b/>
                <w:i w:val="0"/>
                <w:sz w:val="17"/>
                <w:highlight w:val="none"/>
              </w:rPr>
              <w:t>方法</w:t>
            </w:r>
          </w:p>
        </w:tc>
        <w:tc>
          <w:tcPr>
            <w:tcW w:w="3137" w:type="dxa"/>
          </w:tcPr>
          <w:p w14:paraId="1B083FA3">
            <w:pPr>
              <w:jc w:val="center"/>
              <w:rPr>
                <w:highlight w:val="none"/>
              </w:rPr>
            </w:pPr>
            <w:r>
              <w:rPr>
                <w:rFonts w:ascii="Times New Roman" w:hAnsi="Times New Roman" w:eastAsia="宋体"/>
                <w:b/>
                <w:i w:val="0"/>
                <w:sz w:val="17"/>
                <w:highlight w:val="none"/>
              </w:rPr>
              <w:t>MSE</w:t>
            </w:r>
          </w:p>
        </w:tc>
        <w:tc>
          <w:tcPr>
            <w:tcW w:w="3137" w:type="dxa"/>
          </w:tcPr>
          <w:p w14:paraId="27C25351">
            <w:pPr>
              <w:jc w:val="center"/>
              <w:rPr>
                <w:highlight w:val="none"/>
              </w:rPr>
            </w:pPr>
            <w:r>
              <w:rPr>
                <w:rFonts w:ascii="Times New Roman" w:hAnsi="Times New Roman" w:eastAsia="宋体"/>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宋体"/>
                <w:b w:val="0"/>
                <w:i w:val="0"/>
                <w:sz w:val="17"/>
                <w:highlight w:val="none"/>
              </w:rPr>
              <w:t>PatchTST</w:t>
            </w:r>
          </w:p>
        </w:tc>
        <w:tc>
          <w:tcPr>
            <w:tcW w:w="3137" w:type="dxa"/>
          </w:tcPr>
          <w:p w14:paraId="46E3C171">
            <w:pPr>
              <w:jc w:val="center"/>
              <w:rPr>
                <w:highlight w:val="none"/>
              </w:rPr>
            </w:pPr>
            <w:r>
              <w:rPr>
                <w:rFonts w:ascii="Times New Roman" w:hAnsi="Times New Roman" w:eastAsia="宋体"/>
                <w:b w:val="0"/>
                <w:i w:val="0"/>
                <w:sz w:val="17"/>
                <w:highlight w:val="none"/>
              </w:rPr>
              <w:t>0.531</w:t>
            </w:r>
          </w:p>
        </w:tc>
        <w:tc>
          <w:tcPr>
            <w:tcW w:w="3137" w:type="dxa"/>
          </w:tcPr>
          <w:p w14:paraId="6E729961">
            <w:pPr>
              <w:jc w:val="center"/>
              <w:rPr>
                <w:highlight w:val="none"/>
              </w:rPr>
            </w:pPr>
            <w:r>
              <w:rPr>
                <w:rFonts w:ascii="Times New Roman" w:hAnsi="Times New Roman" w:eastAsia="宋体"/>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宋体"/>
                <w:b w:val="0"/>
                <w:i w:val="0"/>
                <w:sz w:val="17"/>
                <w:highlight w:val="none"/>
              </w:rPr>
              <w:t>TimeMixer</w:t>
            </w:r>
          </w:p>
        </w:tc>
        <w:tc>
          <w:tcPr>
            <w:tcW w:w="3137" w:type="dxa"/>
          </w:tcPr>
          <w:p w14:paraId="7BD049B9">
            <w:pPr>
              <w:jc w:val="center"/>
              <w:rPr>
                <w:highlight w:val="none"/>
              </w:rPr>
            </w:pPr>
            <w:r>
              <w:rPr>
                <w:rFonts w:ascii="Times New Roman" w:hAnsi="Times New Roman" w:eastAsia="宋体"/>
                <w:b w:val="0"/>
                <w:i w:val="0"/>
                <w:sz w:val="17"/>
                <w:highlight w:val="none"/>
              </w:rPr>
              <w:t>0.484</w:t>
            </w:r>
          </w:p>
        </w:tc>
        <w:tc>
          <w:tcPr>
            <w:tcW w:w="3137" w:type="dxa"/>
          </w:tcPr>
          <w:p w14:paraId="022082B4">
            <w:pPr>
              <w:jc w:val="center"/>
              <w:rPr>
                <w:highlight w:val="none"/>
              </w:rPr>
            </w:pPr>
            <w:r>
              <w:rPr>
                <w:rFonts w:ascii="Times New Roman" w:hAnsi="Times New Roman" w:eastAsia="宋体"/>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宋体"/>
                <w:b w:val="0"/>
                <w:i w:val="0"/>
                <w:sz w:val="17"/>
                <w:highlight w:val="none"/>
              </w:rPr>
              <w:t>iTransformer</w:t>
            </w:r>
          </w:p>
        </w:tc>
        <w:tc>
          <w:tcPr>
            <w:tcW w:w="3137" w:type="dxa"/>
          </w:tcPr>
          <w:p w14:paraId="21538CE5">
            <w:pPr>
              <w:jc w:val="center"/>
              <w:rPr>
                <w:highlight w:val="none"/>
              </w:rPr>
            </w:pPr>
            <w:r>
              <w:rPr>
                <w:rFonts w:ascii="Times New Roman" w:hAnsi="Times New Roman" w:eastAsia="宋体"/>
                <w:b w:val="0"/>
                <w:i w:val="0"/>
                <w:sz w:val="17"/>
                <w:highlight w:val="none"/>
              </w:rPr>
              <w:t>0.428</w:t>
            </w:r>
          </w:p>
        </w:tc>
        <w:tc>
          <w:tcPr>
            <w:tcW w:w="3137" w:type="dxa"/>
          </w:tcPr>
          <w:p w14:paraId="45328038">
            <w:pPr>
              <w:jc w:val="center"/>
              <w:rPr>
                <w:highlight w:val="none"/>
              </w:rPr>
            </w:pPr>
            <w:r>
              <w:rPr>
                <w:rFonts w:ascii="Times New Roman" w:hAnsi="Times New Roman" w:eastAsia="宋体"/>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宋体"/>
                <w:b w:val="0"/>
                <w:i w:val="0"/>
                <w:sz w:val="17"/>
                <w:highlight w:val="none"/>
              </w:rPr>
              <w:t>FreEformer</w:t>
            </w:r>
          </w:p>
        </w:tc>
        <w:tc>
          <w:tcPr>
            <w:tcW w:w="3137" w:type="dxa"/>
          </w:tcPr>
          <w:p w14:paraId="6AD03D2E">
            <w:pPr>
              <w:jc w:val="center"/>
              <w:rPr>
                <w:highlight w:val="none"/>
              </w:rPr>
            </w:pPr>
            <w:r>
              <w:rPr>
                <w:rFonts w:ascii="Times New Roman" w:hAnsi="Times New Roman" w:eastAsia="宋体"/>
                <w:b w:val="0"/>
                <w:i w:val="0"/>
                <w:sz w:val="17"/>
                <w:highlight w:val="none"/>
              </w:rPr>
              <w:t>0.433</w:t>
            </w:r>
          </w:p>
        </w:tc>
        <w:tc>
          <w:tcPr>
            <w:tcW w:w="3137" w:type="dxa"/>
          </w:tcPr>
          <w:p w14:paraId="687916DE">
            <w:pPr>
              <w:jc w:val="center"/>
              <w:rPr>
                <w:highlight w:val="none"/>
              </w:rPr>
            </w:pPr>
            <w:r>
              <w:rPr>
                <w:rFonts w:ascii="Times New Roman" w:hAnsi="Times New Roman" w:eastAsia="宋体"/>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宋体"/>
                <w:b w:val="0"/>
                <w:i w:val="0"/>
                <w:sz w:val="17"/>
                <w:highlight w:val="none"/>
              </w:rPr>
              <w:t>MoE-Rail</w:t>
            </w:r>
          </w:p>
        </w:tc>
        <w:tc>
          <w:tcPr>
            <w:tcW w:w="3137" w:type="dxa"/>
          </w:tcPr>
          <w:p w14:paraId="2116B9E4">
            <w:pPr>
              <w:jc w:val="center"/>
              <w:rPr>
                <w:highlight w:val="none"/>
              </w:rPr>
            </w:pPr>
            <w:r>
              <w:rPr>
                <w:rFonts w:ascii="Times New Roman" w:hAnsi="Times New Roman" w:eastAsia="宋体"/>
                <w:b w:val="0"/>
                <w:i w:val="0"/>
                <w:sz w:val="17"/>
                <w:highlight w:val="none"/>
              </w:rPr>
              <w:t>0.293</w:t>
            </w:r>
          </w:p>
        </w:tc>
        <w:tc>
          <w:tcPr>
            <w:tcW w:w="3137" w:type="dxa"/>
          </w:tcPr>
          <w:p w14:paraId="5CC31D90">
            <w:pPr>
              <w:jc w:val="center"/>
              <w:rPr>
                <w:highlight w:val="none"/>
              </w:rPr>
            </w:pPr>
            <w:r>
              <w:rPr>
                <w:rFonts w:ascii="Times New Roman" w:hAnsi="Times New Roman" w:eastAsia="宋体"/>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宋体"/>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宋体"/>
          <w:sz w:val="21"/>
        </w:rPr>
        <w:t>图5进一步展示了各方法在Traffic数据集上的MSE/MAE对比。MoE-Rail在MSE维度保持优势，但MAE并未全面优于iTransformer、TimeMixer和FreEformer。因此，修订稿将Traffic实验定位为重构小时级窗口、周期特征和扰动特征后的结构鲁棒性初步验证，不将其表述为稳定跨域泛化能力证明。</w:t>
      </w:r>
    </w:p>
    <w:p w14:paraId="7FACBC8D">
      <w:pPr>
        <w:keepNext/>
        <w:spacing w:before="120" w:beforeLines="50" w:line="312" w:lineRule="auto"/>
        <w:jc w:val="center"/>
        <w:rPr>
          <w:highlight w:val="none"/>
        </w:rPr>
      </w:pPr>
      <w:bookmarkStart w:id="0" w:name="OLE_LINK2"/>
      <w:r>
        <w:rPr>
          <w:rFonts w:ascii="Times New Roman" w:hAnsi="Times New Roman" w:eastAsia="宋体"/>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宋体"/>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lang w:val="en-US" w:eastAsia="zh-CN"/>
        </w:rPr>
        <w:t xml:space="preserve"> </w:t>
      </w:r>
      <w:r>
        <w:rPr>
          <w:rFonts w:hint="eastAsia" w:ascii="Times New Roman" w:hAnsi="Times New Roman" w:eastAsia="宋体"/>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针对铁路客流序列在不同场景下呈现出的局部波动、长期周期性和异常扰动等复杂特征，本文提出场景条件化非平稳分解-路由机制MoE-Rail/RAMR。该模型从趋势、周期与扰动叠加的生成视角出发，通过短期依赖、长期依赖与分布偏移专家实现多尺度分工建模，并结合场景感知门控、regime encoding与负载均衡约束实现专家权重自适应分配。真实南京南站双向日粒度客流实验表明，在严格无测试泄露协议下，Strict RAMR-VE取得MAPE=18.55%、MSE=0.035640、MAE=0.138028，三项指标均优于原MoE-Rail和新增现代强基线；STL分解、门控权重统计和消融实验进一步支持“场景/非平稳状态驱动专家路由”的机制假设。Traffic数据集结果用于说明该框架在重构小时级窗口和周期特征后的结构鲁棒性，不能直接外推为任意线路和任意时间粒度的稳定泛化。后续仍需在更多铁路线路、更多外生扰动变量和更多公开交通数据集上验证其泛化能力。</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宋体"/>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宋体" w:cs="宋体"/>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宋体"/>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宋体"/>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宋体"/>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宋体"/>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宋体"/>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宋体"/>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宋体"/>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宋体"/>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宋体"/>
          <w:b w:val="0"/>
          <w:i w:val="0"/>
          <w:sz w:val="21"/>
          <w:szCs w:val="18"/>
          <w:highlight w:val="none"/>
        </w:rPr>
        <w:t>[8] LI Y, YU R, SHAHABI C, et al. Diffusion Convolutional Recurrent Neural Network: Data-</w:t>
      </w:r>
      <w:r>
        <w:rPr>
          <w:rFonts w:hint="eastAsia" w:ascii="Times New Roman" w:hAnsi="Times New Roman" w:eastAsiaTheme="minorEastAsia" w:eastAsia="宋体"/>
          <w:b w:val="0"/>
          <w:i w:val="0"/>
          <w:sz w:val="21"/>
          <w:szCs w:val="18"/>
          <w:highlight w:val="none"/>
        </w:rPr>
        <w:t>D</w:t>
      </w:r>
      <w:r>
        <w:rPr>
          <w:rFonts w:ascii="Times New Roman" w:hAnsi="Times New Roman" w:eastAsia="宋体"/>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宋体"/>
          <w:b w:val="0"/>
          <w:i w:val="0"/>
          <w:sz w:val="21"/>
          <w:szCs w:val="18"/>
          <w:highlight w:val="none"/>
        </w:rPr>
        <w:t>[9] WU Z, PAN S, LONG G, et al. Graph Wave</w:t>
      </w:r>
      <w:r>
        <w:rPr>
          <w:rFonts w:hint="eastAsia" w:ascii="Times New Roman" w:hAnsi="Times New Roman" w:eastAsia="宋体"/>
          <w:b w:val="0"/>
          <w:i w:val="0"/>
          <w:sz w:val="21"/>
          <w:szCs w:val="18"/>
          <w:highlight w:val="none"/>
        </w:rPr>
        <w:t>N</w:t>
      </w:r>
      <w:r>
        <w:rPr>
          <w:rFonts w:ascii="Times New Roman" w:hAnsi="Times New Roman" w:eastAsia="宋体"/>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宋体"/>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宋体"/>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宋体"/>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宋体"/>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宋体"/>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宋体"/>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宋体"/>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宋体"/>
          <w:b w:val="0"/>
          <w:i w:val="0"/>
          <w:sz w:val="21"/>
          <w:szCs w:val="18"/>
          <w:highlight w:val="none"/>
        </w:rPr>
        <w:t>T</w:t>
      </w:r>
      <w:r>
        <w:rPr>
          <w:rFonts w:ascii="Times New Roman" w:hAnsi="Times New Roman" w:eastAsia="宋体"/>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宋体" w:cs="宋体"/>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宋体"/>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宋体"/>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宋体"/>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宋体"/>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宋体"/>
          <w:b w:val="0"/>
          <w:i w:val="0"/>
          <w:sz w:val="21"/>
          <w:szCs w:val="18"/>
          <w:highlight w:val="none"/>
        </w:rPr>
        <w:t>[21] WANG S, WU H, SHI X, et al. Time</w:t>
      </w:r>
      <w:r>
        <w:rPr>
          <w:rFonts w:hint="eastAsia" w:ascii="Times New Roman" w:hAnsi="Times New Roman" w:eastAsia="宋体"/>
          <w:b w:val="0"/>
          <w:i w:val="0"/>
          <w:sz w:val="21"/>
          <w:szCs w:val="18"/>
          <w:highlight w:val="none"/>
        </w:rPr>
        <w:t>M</w:t>
      </w:r>
      <w:r>
        <w:rPr>
          <w:rFonts w:ascii="Times New Roman" w:hAnsi="Times New Roman" w:eastAsia="宋体"/>
          <w:b w:val="0"/>
          <w:i w:val="0"/>
          <w:sz w:val="21"/>
          <w:szCs w:val="18"/>
          <w:highlight w:val="none"/>
        </w:rPr>
        <w:t xml:space="preserve">ixer: Decomposable Multiscale Mixing for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宋体"/>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宋体"/>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Plain Text"/>
    <w:basedOn w:val="1"/>
    <w:link w:val="15"/>
    <w:qFormat/>
    <w:uiPriority w:val="0"/>
    <w:rPr>
      <w:rFonts w:ascii="宋体" w:hAnsi="Courier New" w:cs="Courier New"/>
      <w:szCs w:val="21"/>
    </w:rPr>
  </w:style>
  <w:style w:type="paragraph" w:styleId="3">
    <w:name w:val="Date"/>
    <w:basedOn w:val="1"/>
    <w:next w:val="1"/>
    <w:link w:val="16"/>
    <w:unhideWhenUsed/>
    <w:qFormat/>
    <w:uiPriority w:val="99"/>
    <w:pPr>
      <w:ind w:left="100" w:leftChars="2500"/>
    </w:pPr>
  </w:style>
  <w:style w:type="paragraph" w:styleId="4">
    <w:name w:val="footer"/>
    <w:basedOn w:val="1"/>
    <w:link w:val="17"/>
    <w:unhideWhenUsed/>
    <w:qFormat/>
    <w:uiPriority w:val="0"/>
    <w:pPr>
      <w:tabs>
        <w:tab w:val="center" w:pos="4153"/>
        <w:tab w:val="right" w:pos="8306"/>
      </w:tabs>
      <w:snapToGrid w:val="0"/>
      <w:jc w:val="left"/>
    </w:pPr>
    <w:rPr>
      <w:rFonts w:ascii="Calibri" w:hAnsi="Calibri"/>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Calibri" w:hAnsi="Calibri"/>
      <w:sz w:val="18"/>
      <w:szCs w:val="18"/>
    </w:rPr>
  </w:style>
  <w:style w:type="paragraph" w:styleId="6">
    <w:name w:val="footnote text"/>
    <w:basedOn w:val="1"/>
    <w:link w:val="19"/>
    <w:qFormat/>
    <w:uiPriority w:val="0"/>
    <w:pPr>
      <w:snapToGrid w:val="0"/>
      <w:jc w:val="left"/>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b/>
    </w:rPr>
  </w:style>
  <w:style w:type="character" w:styleId="12">
    <w:name w:val="FollowedHyperlink"/>
    <w:unhideWhenUsed/>
    <w:qFormat/>
    <w:uiPriority w:val="99"/>
    <w:rPr>
      <w:color w:val="800080"/>
      <w:u w:val="single"/>
    </w:rPr>
  </w:style>
  <w:style w:type="character" w:styleId="13">
    <w:name w:val="Emphasis"/>
    <w:qFormat/>
    <w:uiPriority w:val="20"/>
    <w:rPr>
      <w:i/>
      <w:iCs/>
    </w:rPr>
  </w:style>
  <w:style w:type="character" w:styleId="14">
    <w:name w:val="Hyperlink"/>
    <w:qFormat/>
    <w:uiPriority w:val="0"/>
    <w:rPr>
      <w:color w:val="0000FF"/>
      <w:u w:val="single"/>
    </w:rPr>
  </w:style>
  <w:style w:type="character" w:customStyle="1" w:styleId="15">
    <w:name w:val="纯文本 字符1"/>
    <w:link w:val="2"/>
    <w:qFormat/>
    <w:uiPriority w:val="0"/>
    <w:rPr>
      <w:rFonts w:ascii="宋体" w:hAnsi="Courier New" w:cs="Courier New"/>
      <w:kern w:val="2"/>
      <w:sz w:val="21"/>
      <w:szCs w:val="21"/>
    </w:rPr>
  </w:style>
  <w:style w:type="character" w:customStyle="1" w:styleId="16">
    <w:name w:val="日期 字符"/>
    <w:link w:val="3"/>
    <w:semiHidden/>
    <w:qFormat/>
    <w:uiPriority w:val="99"/>
    <w:rPr>
      <w:rFonts w:ascii="Times New Roman" w:hAnsi="Times New Roman"/>
      <w:kern w:val="2"/>
      <w:sz w:val="21"/>
      <w:szCs w:val="24"/>
    </w:rPr>
  </w:style>
  <w:style w:type="character" w:customStyle="1" w:styleId="17">
    <w:name w:val="页脚 字符"/>
    <w:link w:val="4"/>
    <w:qFormat/>
    <w:uiPriority w:val="0"/>
    <w:rPr>
      <w:sz w:val="18"/>
      <w:szCs w:val="18"/>
    </w:rPr>
  </w:style>
  <w:style w:type="character" w:customStyle="1" w:styleId="18">
    <w:name w:val="页眉 字符"/>
    <w:link w:val="5"/>
    <w:qFormat/>
    <w:uiPriority w:val="0"/>
    <w:rPr>
      <w:sz w:val="18"/>
      <w:szCs w:val="18"/>
    </w:rPr>
  </w:style>
  <w:style w:type="character" w:customStyle="1" w:styleId="19">
    <w:name w:val="脚注文本 字符"/>
    <w:link w:val="6"/>
    <w:semiHidden/>
    <w:qFormat/>
    <w:uiPriority w:val="0"/>
    <w:rPr>
      <w:rFonts w:ascii="Times New Roman" w:hAnsi="Times New Roman" w:eastAsia="宋体" w:cs="Times New Roman"/>
      <w:sz w:val="18"/>
      <w:szCs w:val="18"/>
    </w:rPr>
  </w:style>
  <w:style w:type="character" w:customStyle="1" w:styleId="20">
    <w:name w:val="纯文本 字符"/>
    <w:qFormat/>
    <w:uiPriority w:val="0"/>
    <w:rPr>
      <w:rFonts w:ascii="宋体" w:hAnsi="Courier New" w:cs="Courier New"/>
      <w:kern w:val="2"/>
      <w:sz w:val="21"/>
      <w:szCs w:val="21"/>
    </w:rPr>
  </w:style>
  <w:style w:type="paragraph" w:styleId="21">
    <w:name w:val="List Paragraph"/>
    <w:basedOn w:val="1"/>
    <w:qFormat/>
    <w:uiPriority w:val="34"/>
    <w:pPr>
      <w:ind w:firstLine="420" w:firstLineChars="200"/>
    </w:pPr>
  </w:style>
  <w:style w:type="paragraph" w:customStyle="1" w:styleId="22">
    <w:name w:val="Char Char Char Char Char Char Char"/>
    <w:basedOn w:val="1"/>
    <w:qFormat/>
    <w:uiPriority w:val="0"/>
    <w:pPr>
      <w:widowControl/>
      <w:spacing w:after="160" w:line="240" w:lineRule="exact"/>
      <w:jc w:val="left"/>
    </w:pPr>
    <w:rPr>
      <w:rFonts w:ascii="Arial" w:hAnsi="Arial" w:eastAsia="Times New Roman" w:cs="Verdana"/>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宋体" w:hAnsi="宋体" w:cs="宋体"/>
      <w:kern w:val="0"/>
      <w:sz w:val="24"/>
    </w:rPr>
  </w:style>
  <w:style w:type="character" w:customStyle="1" w:styleId="24">
    <w:name w:val="l4i19yg"/>
    <w:qFormat/>
    <w:uiPriority w:val="0"/>
  </w:style>
  <w:style w:type="character" w:customStyle="1" w:styleId="25">
    <w:name w:val="busi-txt"/>
    <w:qFormat/>
    <w:uiPriority w:val="0"/>
  </w:style>
  <w:style w:type="character" w:customStyle="1" w:styleId="26">
    <w:name w:val="busi-link"/>
    <w:qFormat/>
    <w:uiPriority w:val="0"/>
  </w:style>
  <w:style w:type="character" w:customStyle="1" w:styleId="27">
    <w:name w:val="v33pl22e"/>
    <w:qFormat/>
    <w:uiPriority w:val="0"/>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宋体" w:hAnsi="MS Sans Serif"/>
      <w:szCs w:val="20"/>
    </w:rPr>
  </w:style>
  <w:style w:type="character" w:customStyle="1" w:styleId="29">
    <w:name w:val="页脚 Char"/>
    <w:qFormat/>
    <w:uiPriority w:val="0"/>
    <w:rPr>
      <w:kern w:val="2"/>
      <w:sz w:val="18"/>
      <w:lang w:val="zh-CN" w:eastAsia="zh-CN"/>
    </w:rPr>
  </w:style>
  <w:style w:type="character" w:customStyle="1" w:styleId="30">
    <w:name w:val="脚注文本 Char"/>
    <w:qFormat/>
    <w:uiPriority w:val="0"/>
    <w:rPr>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