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32"/>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楷体" w:hAnsi="楷体" w:eastAsia="楷体"/>
          <w:sz w:val="32"/>
          <w:szCs w:val="32"/>
          <w:highlight w:val="none"/>
        </w:rPr>
        <w:t>魏涛涛</w:t>
      </w:r>
      <w:r>
        <w:rPr>
          <w:rFonts w:ascii="楷体" w:hAnsi="楷体" w:eastAsia="楷体"/>
          <w:sz w:val="28"/>
          <w:szCs w:val="28"/>
          <w:highlight w:val="none"/>
          <w:vertAlign w:val="superscript"/>
        </w:rPr>
        <w:t>1,2</w:t>
      </w:r>
      <w:r>
        <w:rPr>
          <w:rFonts w:ascii="楷体" w:hAnsi="楷体" w:eastAsia="楷体"/>
          <w:sz w:val="28"/>
          <w:szCs w:val="28"/>
          <w:highlight w:val="none"/>
        </w:rPr>
        <w:t xml:space="preserve"> </w:t>
      </w:r>
      <w:r>
        <w:rPr>
          <w:rFonts w:ascii="楷体" w:hAnsi="楷体" w:eastAsia="楷体"/>
          <w:sz w:val="32"/>
          <w:szCs w:val="32"/>
          <w:highlight w:val="none"/>
        </w:rPr>
        <w:t>黄婵妮</w:t>
      </w:r>
      <w:r>
        <w:rPr>
          <w:rFonts w:ascii="楷体" w:hAnsi="楷体" w:eastAsia="楷体"/>
          <w:sz w:val="28"/>
          <w:szCs w:val="28"/>
          <w:highlight w:val="none"/>
          <w:vertAlign w:val="superscript"/>
        </w:rPr>
        <w:t>3</w:t>
      </w:r>
      <w:r>
        <w:rPr>
          <w:rFonts w:hint="eastAsia" w:ascii="楷体" w:hAnsi="楷体" w:eastAsia="楷体"/>
          <w:sz w:val="28"/>
          <w:szCs w:val="28"/>
          <w:highlight w:val="none"/>
          <w:vertAlign w:val="superscript"/>
        </w:rPr>
        <w:t>，4</w:t>
      </w:r>
      <w:r>
        <w:rPr>
          <w:rFonts w:ascii="楷体" w:hAnsi="楷体" w:eastAsia="楷体"/>
          <w:sz w:val="28"/>
          <w:szCs w:val="28"/>
          <w:highlight w:val="none"/>
          <w:vertAlign w:val="superscript"/>
        </w:rPr>
        <w:t xml:space="preserve">  </w:t>
      </w:r>
      <w:r>
        <w:rPr>
          <w:rFonts w:ascii="楷体" w:hAnsi="楷体" w:eastAsia="楷体"/>
          <w:sz w:val="32"/>
          <w:szCs w:val="32"/>
          <w:highlight w:val="none"/>
        </w:rPr>
        <w:t>冯翔</w:t>
      </w:r>
      <w:r>
        <w:rPr>
          <w:rFonts w:ascii="楷体" w:hAnsi="楷体" w:eastAsia="楷体"/>
          <w:sz w:val="28"/>
          <w:szCs w:val="28"/>
          <w:highlight w:val="none"/>
          <w:vertAlign w:val="superscript"/>
        </w:rPr>
        <w:t>1,2</w:t>
      </w:r>
      <w:r>
        <w:rPr>
          <w:rFonts w:ascii="楷体" w:hAnsi="楷体" w:eastAsia="楷体"/>
          <w:sz w:val="32"/>
          <w:szCs w:val="32"/>
          <w:highlight w:val="none"/>
        </w:rPr>
        <w:t>吕又冉</w:t>
      </w:r>
      <w:r>
        <w:rPr>
          <w:rFonts w:ascii="楷体" w:hAnsi="楷体" w:eastAsia="楷体"/>
          <w:sz w:val="28"/>
          <w:szCs w:val="28"/>
          <w:highlight w:val="none"/>
          <w:vertAlign w:val="superscript"/>
        </w:rPr>
        <w:t>1,2</w:t>
      </w:r>
      <w:r>
        <w:rPr>
          <w:rFonts w:hint="eastAsia" w:ascii="楷体" w:hAnsi="楷体" w:eastAsia="楷体"/>
          <w:sz w:val="32"/>
          <w:szCs w:val="32"/>
          <w:highlight w:val="none"/>
          <w:lang w:val="en-US" w:eastAsia="zh-CN"/>
        </w:rPr>
        <w:t>金一</w:t>
      </w:r>
      <w:r>
        <w:rPr>
          <w:rFonts w:hint="eastAsia" w:ascii="楷体" w:hAnsi="楷体" w:eastAsia="楷体"/>
          <w:sz w:val="28"/>
          <w:szCs w:val="28"/>
          <w:highlight w:val="none"/>
          <w:vertAlign w:val="superscript"/>
          <w:lang w:val="en-US" w:eastAsia="zh-CN"/>
        </w:rPr>
        <w:t>5</w:t>
      </w:r>
      <w:r>
        <w:rPr>
          <w:rFonts w:hint="eastAsia" w:ascii="楷体" w:hAnsi="楷体" w:eastAsia="楷体"/>
          <w:sz w:val="28"/>
          <w:szCs w:val="28"/>
          <w:highlight w:val="none"/>
          <w:lang w:val="en-US" w:eastAsia="zh-CN"/>
        </w:rPr>
        <w:t xml:space="preserve"> </w:t>
      </w:r>
      <w:r>
        <w:rPr>
          <w:rFonts w:hint="eastAsia" w:ascii="楷体" w:hAnsi="楷体" w:eastAsia="楷体"/>
          <w:sz w:val="32"/>
          <w:szCs w:val="32"/>
          <w:highlight w:val="none"/>
          <w:lang w:val="en-US" w:eastAsia="zh-CN"/>
        </w:rPr>
        <w:t>李</w:t>
      </w:r>
      <w:r>
        <w:rPr>
          <w:rFonts w:ascii="楷体" w:hAnsi="楷体" w:eastAsia="楷体"/>
          <w:sz w:val="32"/>
          <w:szCs w:val="32"/>
          <w:highlight w:val="none"/>
        </w:rPr>
        <w:t>兵</w:t>
      </w:r>
      <w:r>
        <w:rPr>
          <w:rFonts w:hint="eastAsia" w:ascii="楷体" w:hAnsi="楷体" w:eastAsia="楷体"/>
          <w:sz w:val="28"/>
          <w:szCs w:val="28"/>
          <w:highlight w:val="none"/>
          <w:vertAlign w:val="superscript"/>
        </w:rPr>
        <w:t>3*</w:t>
      </w:r>
    </w:p>
    <w:p w14:paraId="2970C8A2">
      <w:pPr>
        <w:numPr>
          <w:ilvl w:val="0"/>
          <w:numId w:val="1"/>
        </w:numPr>
        <w:spacing w:line="300" w:lineRule="exact"/>
        <w:jc w:val="center"/>
        <w:rPr>
          <w:sz w:val="18"/>
          <w:szCs w:val="18"/>
          <w:highlight w:val="none"/>
        </w:rPr>
      </w:pPr>
      <w:r>
        <w:rPr>
          <w:sz w:val="18"/>
          <w:szCs w:val="18"/>
          <w:highlight w:val="none"/>
        </w:rPr>
        <w:t>江苏省铁路集团有限公司</w:t>
      </w:r>
      <w:r>
        <w:rPr>
          <w:rFonts w:hint="eastAsia"/>
          <w:sz w:val="18"/>
          <w:szCs w:val="18"/>
          <w:highlight w:val="none"/>
          <w:lang w:eastAsia="zh-CN"/>
        </w:rPr>
        <w:t>，</w:t>
      </w:r>
      <w:r>
        <w:rPr>
          <w:rFonts w:hint="eastAsia"/>
          <w:sz w:val="18"/>
          <w:szCs w:val="18"/>
          <w:highlight w:val="none"/>
          <w:lang w:val="en-US" w:eastAsia="zh-CN"/>
        </w:rPr>
        <w:t>江苏</w:t>
      </w:r>
      <w:r>
        <w:rPr>
          <w:sz w:val="18"/>
          <w:szCs w:val="18"/>
          <w:highlight w:val="none"/>
        </w:rPr>
        <w:t>，南京，210012；2. 江苏省智能与绿色铁路工程研究中心</w:t>
      </w:r>
      <w:r>
        <w:rPr>
          <w:rFonts w:hint="eastAsia"/>
          <w:sz w:val="18"/>
          <w:szCs w:val="18"/>
          <w:highlight w:val="none"/>
          <w:lang w:eastAsia="zh-CN"/>
        </w:rPr>
        <w:t>，</w:t>
      </w:r>
      <w:r>
        <w:rPr>
          <w:rFonts w:hint="eastAsia"/>
          <w:sz w:val="18"/>
          <w:szCs w:val="18"/>
          <w:highlight w:val="none"/>
          <w:lang w:val="en-US" w:eastAsia="zh-CN"/>
        </w:rPr>
        <w:t>江苏</w:t>
      </w:r>
      <w:r>
        <w:rPr>
          <w:sz w:val="18"/>
          <w:szCs w:val="18"/>
          <w:highlight w:val="none"/>
        </w:rPr>
        <w:t>，南京，210012；</w:t>
      </w:r>
      <w:r>
        <w:rPr>
          <w:rFonts w:hint="eastAsia"/>
          <w:sz w:val="18"/>
          <w:szCs w:val="18"/>
          <w:highlight w:val="none"/>
        </w:rPr>
        <w:t>3</w:t>
      </w:r>
      <w:r>
        <w:rPr>
          <w:sz w:val="18"/>
          <w:szCs w:val="18"/>
          <w:highlight w:val="none"/>
        </w:rPr>
        <w:t>. 中</w:t>
      </w:r>
      <w:r>
        <w:rPr>
          <w:rFonts w:hint="eastAsia"/>
          <w:sz w:val="18"/>
          <w:szCs w:val="18"/>
          <w:highlight w:val="none"/>
        </w:rPr>
        <w:t>国</w:t>
      </w:r>
      <w:r>
        <w:rPr>
          <w:sz w:val="18"/>
          <w:szCs w:val="18"/>
          <w:highlight w:val="none"/>
        </w:rPr>
        <w:t>科</w:t>
      </w:r>
      <w:r>
        <w:rPr>
          <w:rFonts w:hint="eastAsia"/>
          <w:sz w:val="18"/>
          <w:szCs w:val="18"/>
          <w:highlight w:val="none"/>
        </w:rPr>
        <w:t>学</w:t>
      </w:r>
      <w:r>
        <w:rPr>
          <w:sz w:val="18"/>
          <w:szCs w:val="18"/>
          <w:highlight w:val="none"/>
        </w:rPr>
        <w:t>院自动化研究所，北京，100190；</w:t>
      </w:r>
      <w:r>
        <w:rPr>
          <w:rFonts w:hint="eastAsia"/>
          <w:sz w:val="18"/>
          <w:szCs w:val="18"/>
          <w:highlight w:val="none"/>
        </w:rPr>
        <w:t>4</w:t>
      </w:r>
      <w:r>
        <w:rPr>
          <w:sz w:val="18"/>
          <w:szCs w:val="18"/>
          <w:highlight w:val="none"/>
        </w:rPr>
        <w:t>. 北京联合大学，北京，100101；</w:t>
      </w:r>
      <w:r>
        <w:rPr>
          <w:rFonts w:hint="eastAsia"/>
          <w:sz w:val="18"/>
          <w:szCs w:val="18"/>
          <w:highlight w:val="none"/>
        </w:rPr>
        <w:t>5</w:t>
      </w:r>
      <w:r>
        <w:rPr>
          <w:sz w:val="18"/>
          <w:szCs w:val="18"/>
          <w:highlight w:val="none"/>
        </w:rPr>
        <w:t xml:space="preserve">. </w:t>
      </w:r>
      <w:r>
        <w:rPr>
          <w:rFonts w:hint="eastAsia"/>
          <w:sz w:val="18"/>
          <w:szCs w:val="18"/>
          <w:highlight w:val="none"/>
          <w:lang w:val="en-US" w:eastAsia="zh-CN"/>
        </w:rPr>
        <w:t>北京交通大学</w:t>
      </w:r>
      <w:r>
        <w:rPr>
          <w:sz w:val="18"/>
          <w:szCs w:val="18"/>
          <w:highlight w:val="none"/>
        </w:rPr>
        <w:t>，北京</w:t>
      </w:r>
      <w:r>
        <w:rPr>
          <w:rFonts w:hint="eastAsia"/>
          <w:sz w:val="18"/>
          <w:szCs w:val="18"/>
          <w:highlight w:val="none"/>
          <w:lang w:val="en-US" w:eastAsia="zh-CN"/>
        </w:rPr>
        <w:t>，100044</w:t>
      </w:r>
      <w:r>
        <w:rPr>
          <w:sz w:val="18"/>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18"/>
          <w:highlight w:val="none"/>
        </w:rPr>
        <w:t>摘要：</w:t>
      </w:r>
    </w:p>
    <w:p w14:paraId="616E84BE">
      <w:pPr>
        <w:spacing w:line="300" w:lineRule="exact"/>
        <w:ind w:left="425" w:right="425"/>
        <w:rPr>
          <w:rFonts w:hint="eastAsia" w:ascii="宋体" w:hAnsi="宋体" w:eastAsia="宋体" w:cs="宋体"/>
          <w:sz w:val="18"/>
          <w:szCs w:val="18"/>
          <w:highlight w:val="none"/>
        </w:rPr>
      </w:pPr>
      <w:r>
        <w:t>高精度铁路客流预测对客运组织、运力配置与智能调度具有重要意义。铁路客流序列受跨城市出行、节假日和临时扰动影响，呈现趋势、周期和残差扰动交织的多尺度非平稳特征。本文提出一种场景驱动的非平稳时序分解-路由机制（Regime-aware Mixture Routing, RAMR），将趋势、周期与扰动结构显式映射到专家空间，并通过日历场景与窗口级非平稳状态共同条件化门控网络，实现不同非平稳成分的自适应建模。某铁路枢纽运营数据实验表明，原MoE-Rail测试集MAPE为19.41%；进一步的RAMR补充实验显示，引入场景条件与regime条件后，相比去除场景门控和去除regime路由的变体分别降低1.56和0.49个百分点。门控可视化表明模型能够在不同场景下调整短期、长期与分布偏移专家权重，为铁路客流非平稳预测提供可解释的多专家路由机制。</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18"/>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18"/>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18"/>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黑体" w:hAnsi="黑体" w:eastAsia="黑体"/>
          <w:sz w:val="32"/>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黑体" w:hAnsi="黑体" w:eastAsia="黑体"/>
          <w:sz w:val="32"/>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i/>
          <w:iCs/>
          <w:sz w:val="28"/>
          <w:szCs w:val="28"/>
          <w:highlight w:val="none"/>
        </w:rPr>
        <w:t>W</w:t>
      </w:r>
      <w:r>
        <w:rPr>
          <w:rFonts w:hint="eastAsia"/>
          <w:i/>
          <w:iCs/>
          <w:sz w:val="28"/>
          <w:szCs w:val="28"/>
          <w:highlight w:val="none"/>
        </w:rPr>
        <w:t xml:space="preserve">EI </w:t>
      </w:r>
      <w:r>
        <w:rPr>
          <w:i/>
          <w:iCs/>
          <w:sz w:val="28"/>
          <w:szCs w:val="28"/>
          <w:highlight w:val="none"/>
        </w:rPr>
        <w:t>Weitao</w:t>
      </w:r>
      <w:r>
        <w:rPr>
          <w:sz w:val="28"/>
          <w:szCs w:val="28"/>
          <w:highlight w:val="none"/>
          <w:vertAlign w:val="superscript"/>
        </w:rPr>
        <w:t xml:space="preserve"> 1,2</w:t>
      </w:r>
      <w:r>
        <w:rPr>
          <w:sz w:val="28"/>
          <w:szCs w:val="28"/>
          <w:highlight w:val="none"/>
        </w:rPr>
        <w:t>，</w:t>
      </w:r>
      <w:r>
        <w:rPr>
          <w:i/>
          <w:iCs/>
          <w:sz w:val="28"/>
          <w:szCs w:val="28"/>
          <w:highlight w:val="none"/>
        </w:rPr>
        <w:t>H</w:t>
      </w:r>
      <w:r>
        <w:rPr>
          <w:rFonts w:hint="eastAsia"/>
          <w:i/>
          <w:iCs/>
          <w:sz w:val="28"/>
          <w:szCs w:val="28"/>
          <w:highlight w:val="none"/>
        </w:rPr>
        <w:t>UANG</w:t>
      </w:r>
      <w:r>
        <w:rPr>
          <w:i/>
          <w:iCs/>
          <w:sz w:val="28"/>
          <w:szCs w:val="28"/>
          <w:highlight w:val="none"/>
        </w:rPr>
        <w:t xml:space="preserve"> Channi</w:t>
      </w:r>
      <w:r>
        <w:rPr>
          <w:sz w:val="28"/>
          <w:szCs w:val="28"/>
          <w:highlight w:val="none"/>
          <w:vertAlign w:val="superscript"/>
        </w:rPr>
        <w:t>3</w:t>
      </w:r>
      <w:r>
        <w:rPr>
          <w:rFonts w:hint="eastAsia"/>
          <w:sz w:val="28"/>
          <w:szCs w:val="28"/>
          <w:highlight w:val="none"/>
          <w:vertAlign w:val="superscript"/>
        </w:rPr>
        <w:t>,4</w:t>
      </w:r>
      <w:r>
        <w:rPr>
          <w:sz w:val="28"/>
          <w:szCs w:val="28"/>
          <w:highlight w:val="none"/>
        </w:rPr>
        <w:t>，</w:t>
      </w:r>
      <w:r>
        <w:rPr>
          <w:i/>
          <w:iCs/>
          <w:sz w:val="28"/>
          <w:szCs w:val="28"/>
          <w:highlight w:val="none"/>
        </w:rPr>
        <w:t>F</w:t>
      </w:r>
      <w:r>
        <w:rPr>
          <w:rFonts w:hint="eastAsia"/>
          <w:i/>
          <w:iCs/>
          <w:sz w:val="28"/>
          <w:szCs w:val="28"/>
          <w:highlight w:val="none"/>
        </w:rPr>
        <w:t xml:space="preserve">ENG </w:t>
      </w:r>
      <w:r>
        <w:rPr>
          <w:i/>
          <w:iCs/>
          <w:sz w:val="28"/>
          <w:szCs w:val="28"/>
          <w:highlight w:val="none"/>
        </w:rPr>
        <w:t>Xiang</w:t>
      </w:r>
      <w:r>
        <w:rPr>
          <w:sz w:val="28"/>
          <w:szCs w:val="28"/>
          <w:highlight w:val="none"/>
          <w:vertAlign w:val="superscript"/>
        </w:rPr>
        <w:t xml:space="preserve"> 1,2</w:t>
      </w:r>
      <w:r>
        <w:rPr>
          <w:sz w:val="28"/>
          <w:szCs w:val="28"/>
          <w:highlight w:val="none"/>
        </w:rPr>
        <w:t>，</w:t>
      </w:r>
      <w:r>
        <w:rPr>
          <w:i/>
          <w:iCs/>
          <w:sz w:val="28"/>
          <w:szCs w:val="28"/>
          <w:highlight w:val="none"/>
        </w:rPr>
        <w:t>L</w:t>
      </w:r>
      <w:r>
        <w:rPr>
          <w:rFonts w:hint="eastAsia"/>
          <w:i/>
          <w:iCs/>
          <w:sz w:val="28"/>
          <w:szCs w:val="28"/>
          <w:highlight w:val="none"/>
        </w:rPr>
        <w:t xml:space="preserve">V </w:t>
      </w:r>
      <w:r>
        <w:rPr>
          <w:i/>
          <w:iCs/>
          <w:sz w:val="28"/>
          <w:szCs w:val="28"/>
          <w:highlight w:val="none"/>
        </w:rPr>
        <w:t>Youran</w:t>
      </w:r>
      <w:r>
        <w:rPr>
          <w:sz w:val="28"/>
          <w:szCs w:val="28"/>
          <w:highlight w:val="none"/>
          <w:vertAlign w:val="superscript"/>
        </w:rPr>
        <w:t>1,2</w:t>
      </w:r>
      <w:r>
        <w:rPr>
          <w:sz w:val="28"/>
          <w:szCs w:val="28"/>
          <w:highlight w:val="none"/>
        </w:rPr>
        <w:t>，</w:t>
      </w:r>
      <w:r>
        <w:rPr>
          <w:rFonts w:hint="eastAsia"/>
          <w:i/>
          <w:iCs/>
          <w:sz w:val="28"/>
          <w:szCs w:val="28"/>
          <w:highlight w:val="none"/>
        </w:rPr>
        <w:t xml:space="preserve">Jin Yi </w:t>
      </w:r>
      <w:r>
        <w:rPr>
          <w:rFonts w:hint="eastAsia"/>
          <w:sz w:val="28"/>
          <w:szCs w:val="28"/>
          <w:highlight w:val="none"/>
          <w:vertAlign w:val="superscript"/>
          <w:lang w:val="en-US" w:eastAsia="zh-CN"/>
        </w:rPr>
        <w:t>5</w:t>
      </w:r>
      <w:r>
        <w:rPr>
          <w:sz w:val="28"/>
          <w:szCs w:val="28"/>
          <w:highlight w:val="none"/>
        </w:rPr>
        <w:t>，</w:t>
      </w:r>
      <w:r>
        <w:rPr>
          <w:i/>
          <w:iCs/>
          <w:sz w:val="28"/>
          <w:szCs w:val="28"/>
          <w:highlight w:val="none"/>
        </w:rPr>
        <w:t>L</w:t>
      </w:r>
      <w:r>
        <w:rPr>
          <w:rFonts w:hint="eastAsia"/>
          <w:i/>
          <w:iCs/>
          <w:sz w:val="28"/>
          <w:szCs w:val="28"/>
          <w:highlight w:val="none"/>
        </w:rPr>
        <w:t xml:space="preserve">I </w:t>
      </w:r>
      <w:r>
        <w:rPr>
          <w:i/>
          <w:iCs/>
          <w:sz w:val="28"/>
          <w:szCs w:val="28"/>
          <w:highlight w:val="none"/>
        </w:rPr>
        <w:t>Bing</w:t>
      </w:r>
      <w:r>
        <w:rPr>
          <w:rFonts w:hint="eastAsia"/>
          <w:i/>
          <w:iCs/>
          <w:sz w:val="28"/>
          <w:szCs w:val="28"/>
          <w:highlight w:val="none"/>
        </w:rPr>
        <w:t>3*</w:t>
      </w:r>
    </w:p>
    <w:p w14:paraId="71A5BBEF">
      <w:pPr>
        <w:numPr>
          <w:ilvl w:val="0"/>
          <w:numId w:val="2"/>
        </w:numPr>
        <w:spacing w:line="300" w:lineRule="exact"/>
        <w:jc w:val="center"/>
        <w:rPr>
          <w:sz w:val="18"/>
          <w:szCs w:val="18"/>
          <w:highlight w:val="none"/>
        </w:rPr>
      </w:pPr>
      <w:r>
        <w:rPr>
          <w:sz w:val="18"/>
          <w:szCs w:val="18"/>
          <w:highlight w:val="none"/>
        </w:rPr>
        <w:t>Jiangsu Railway Group Co., Ltd.,</w:t>
      </w:r>
      <w:r>
        <w:rPr>
          <w:rFonts w:hint="eastAsia"/>
          <w:sz w:val="18"/>
          <w:szCs w:val="18"/>
          <w:highlight w:val="none"/>
          <w:lang w:val="en-US" w:eastAsia="zh-CN"/>
        </w:rPr>
        <w:t xml:space="preserve"> </w:t>
      </w:r>
      <w:r>
        <w:rPr>
          <w:sz w:val="18"/>
          <w:szCs w:val="18"/>
          <w:highlight w:val="none"/>
        </w:rPr>
        <w:t>Nanjing,</w:t>
      </w:r>
      <w:r>
        <w:rPr>
          <w:rFonts w:hint="eastAsia"/>
          <w:sz w:val="18"/>
          <w:szCs w:val="18"/>
          <w:highlight w:val="none"/>
          <w:lang w:val="en-US" w:eastAsia="zh-CN"/>
        </w:rPr>
        <w:t xml:space="preserve"> </w:t>
      </w:r>
      <w:r>
        <w:rPr>
          <w:sz w:val="18"/>
          <w:szCs w:val="18"/>
          <w:highlight w:val="none"/>
        </w:rPr>
        <w:t>210012,</w:t>
      </w:r>
      <w:r>
        <w:rPr>
          <w:rFonts w:hint="eastAsia"/>
          <w:sz w:val="18"/>
          <w:szCs w:val="18"/>
          <w:highlight w:val="none"/>
          <w:lang w:val="en-US" w:eastAsia="zh-CN"/>
        </w:rPr>
        <w:t xml:space="preserve"> </w:t>
      </w:r>
      <w:r>
        <w:rPr>
          <w:sz w:val="18"/>
          <w:szCs w:val="18"/>
          <w:highlight w:val="none"/>
        </w:rPr>
        <w:t>China; 2.</w:t>
      </w:r>
      <w:r>
        <w:rPr>
          <w:rFonts w:hint="eastAsia"/>
          <w:sz w:val="18"/>
          <w:szCs w:val="18"/>
          <w:highlight w:val="none"/>
          <w:lang w:val="en-US" w:eastAsia="zh-CN"/>
        </w:rPr>
        <w:t xml:space="preserve"> </w:t>
      </w:r>
      <w:r>
        <w:rPr>
          <w:sz w:val="18"/>
          <w:szCs w:val="18"/>
          <w:highlight w:val="none"/>
        </w:rPr>
        <w:t>Jiangsu Province Engineering Research Center of Intelligent and Green Railway,</w:t>
      </w:r>
      <w:r>
        <w:rPr>
          <w:rFonts w:hint="eastAsia"/>
          <w:sz w:val="18"/>
          <w:szCs w:val="18"/>
          <w:highlight w:val="none"/>
          <w:lang w:val="en-US" w:eastAsia="zh-CN"/>
        </w:rPr>
        <w:t xml:space="preserve"> </w:t>
      </w:r>
      <w:r>
        <w:rPr>
          <w:sz w:val="18"/>
          <w:szCs w:val="18"/>
          <w:highlight w:val="none"/>
        </w:rPr>
        <w:t>210012,</w:t>
      </w:r>
      <w:r>
        <w:rPr>
          <w:rFonts w:hint="eastAsia"/>
          <w:sz w:val="18"/>
          <w:szCs w:val="18"/>
          <w:highlight w:val="none"/>
          <w:lang w:val="en-US" w:eastAsia="zh-CN"/>
        </w:rPr>
        <w:t xml:space="preserve"> </w:t>
      </w:r>
      <w:r>
        <w:rPr>
          <w:sz w:val="18"/>
          <w:szCs w:val="18"/>
          <w:highlight w:val="none"/>
        </w:rPr>
        <w:t xml:space="preserve">China; </w:t>
      </w:r>
      <w:r>
        <w:rPr>
          <w:rFonts w:hint="eastAsia"/>
          <w:sz w:val="18"/>
          <w:szCs w:val="18"/>
          <w:highlight w:val="none"/>
        </w:rPr>
        <w:t>3</w:t>
      </w:r>
      <w:r>
        <w:rPr>
          <w:sz w:val="18"/>
          <w:szCs w:val="18"/>
          <w:highlight w:val="none"/>
        </w:rPr>
        <w:t>.</w:t>
      </w:r>
      <w:r>
        <w:rPr>
          <w:rFonts w:hint="eastAsia"/>
          <w:sz w:val="18"/>
          <w:szCs w:val="18"/>
          <w:highlight w:val="none"/>
          <w:lang w:val="en-US" w:eastAsia="zh-CN"/>
        </w:rPr>
        <w:t xml:space="preserve"> </w:t>
      </w:r>
      <w:r>
        <w:rPr>
          <w:sz w:val="18"/>
          <w:szCs w:val="18"/>
          <w:highlight w:val="none"/>
        </w:rPr>
        <w:t>Institute of Automation</w:t>
      </w:r>
      <w:r>
        <w:rPr>
          <w:rFonts w:hint="eastAsia"/>
          <w:sz w:val="18"/>
          <w:szCs w:val="18"/>
          <w:highlight w:val="none"/>
          <w:lang w:val="en-US" w:eastAsia="zh-CN"/>
        </w:rPr>
        <w:t xml:space="preserve">, </w:t>
      </w:r>
      <w:r>
        <w:rPr>
          <w:sz w:val="18"/>
          <w:szCs w:val="18"/>
          <w:highlight w:val="none"/>
        </w:rPr>
        <w:t>Chinese Academy of Sciences,</w:t>
      </w:r>
      <w:r>
        <w:rPr>
          <w:rFonts w:hint="eastAsia"/>
          <w:sz w:val="18"/>
          <w:szCs w:val="18"/>
          <w:highlight w:val="none"/>
          <w:lang w:val="en-US" w:eastAsia="zh-CN"/>
        </w:rPr>
        <w:t xml:space="preserve"> </w:t>
      </w:r>
      <w:r>
        <w:rPr>
          <w:sz w:val="18"/>
          <w:szCs w:val="18"/>
          <w:highlight w:val="none"/>
        </w:rPr>
        <w:t>100190,</w:t>
      </w:r>
      <w:r>
        <w:rPr>
          <w:rFonts w:hint="eastAsia"/>
          <w:sz w:val="18"/>
          <w:szCs w:val="18"/>
          <w:highlight w:val="none"/>
          <w:lang w:val="en-US" w:eastAsia="zh-CN"/>
        </w:rPr>
        <w:t xml:space="preserve"> </w:t>
      </w:r>
      <w:r>
        <w:rPr>
          <w:sz w:val="18"/>
          <w:szCs w:val="18"/>
          <w:highlight w:val="none"/>
        </w:rPr>
        <w:t>Beijing;</w:t>
      </w:r>
      <w:r>
        <w:rPr>
          <w:rFonts w:hint="eastAsia"/>
          <w:sz w:val="18"/>
          <w:szCs w:val="18"/>
          <w:highlight w:val="none"/>
          <w:lang w:val="en-US" w:eastAsia="zh-CN"/>
        </w:rPr>
        <w:t xml:space="preserve"> </w:t>
      </w:r>
      <w:r>
        <w:rPr>
          <w:rFonts w:hint="eastAsia"/>
          <w:sz w:val="18"/>
          <w:szCs w:val="18"/>
          <w:highlight w:val="none"/>
        </w:rPr>
        <w:t>4</w:t>
      </w:r>
      <w:r>
        <w:rPr>
          <w:sz w:val="18"/>
          <w:szCs w:val="18"/>
          <w:highlight w:val="none"/>
        </w:rPr>
        <w:t>.</w:t>
      </w:r>
      <w:r>
        <w:rPr>
          <w:rFonts w:hint="eastAsia"/>
          <w:sz w:val="18"/>
          <w:szCs w:val="18"/>
          <w:highlight w:val="none"/>
          <w:lang w:val="en-US" w:eastAsia="zh-CN"/>
        </w:rPr>
        <w:t xml:space="preserve"> </w:t>
      </w:r>
      <w:r>
        <w:rPr>
          <w:sz w:val="18"/>
          <w:szCs w:val="18"/>
          <w:highlight w:val="none"/>
        </w:rPr>
        <w:t>Beijing Union University,</w:t>
      </w:r>
      <w:r>
        <w:rPr>
          <w:rFonts w:hint="eastAsia"/>
          <w:sz w:val="18"/>
          <w:szCs w:val="18"/>
          <w:highlight w:val="none"/>
          <w:lang w:val="en-US" w:eastAsia="zh-CN"/>
        </w:rPr>
        <w:t xml:space="preserve"> </w:t>
      </w:r>
      <w:r>
        <w:rPr>
          <w:sz w:val="18"/>
          <w:szCs w:val="18"/>
          <w:highlight w:val="none"/>
        </w:rPr>
        <w:t>100101, BeiJing;</w:t>
      </w:r>
      <w:r>
        <w:rPr>
          <w:rFonts w:hint="eastAsia"/>
          <w:sz w:val="18"/>
          <w:szCs w:val="18"/>
          <w:highlight w:val="none"/>
          <w:lang w:val="en-US" w:eastAsia="zh-CN"/>
        </w:rPr>
        <w:t xml:space="preserve"> </w:t>
      </w:r>
      <w:r>
        <w:rPr>
          <w:sz w:val="18"/>
          <w:szCs w:val="18"/>
          <w:highlight w:val="none"/>
        </w:rPr>
        <w:t>5.</w:t>
      </w:r>
      <w:r>
        <w:rPr>
          <w:rFonts w:hint="eastAsia"/>
          <w:sz w:val="18"/>
          <w:szCs w:val="18"/>
          <w:highlight w:val="none"/>
          <w:lang w:val="en-US" w:eastAsia="zh-CN"/>
        </w:rPr>
        <w:t xml:space="preserve"> </w:t>
      </w:r>
      <w:r>
        <w:rPr>
          <w:rFonts w:hint="eastAsia"/>
          <w:sz w:val="18"/>
          <w:szCs w:val="18"/>
          <w:highlight w:val="none"/>
          <w:lang w:eastAsia="zh-CN"/>
        </w:rPr>
        <w:t>Beijing Jiaotong University,</w:t>
      </w:r>
      <w:r>
        <w:rPr>
          <w:rFonts w:hint="eastAsia"/>
          <w:sz w:val="18"/>
          <w:szCs w:val="18"/>
          <w:highlight w:val="none"/>
          <w:lang w:val="en-US" w:eastAsia="zh-CN"/>
        </w:rPr>
        <w:t xml:space="preserve"> </w:t>
      </w:r>
      <w:r>
        <w:rPr>
          <w:rFonts w:hint="eastAsia"/>
          <w:sz w:val="18"/>
          <w:szCs w:val="18"/>
          <w:highlight w:val="none"/>
          <w:lang w:eastAsia="zh-CN"/>
        </w:rPr>
        <w:t>100044, Beijing</w:t>
      </w:r>
      <w:r>
        <w:rPr>
          <w:sz w:val="18"/>
          <w:szCs w:val="18"/>
          <w:highlight w:val="none"/>
        </w:rPr>
        <w:t>)</w:t>
      </w:r>
    </w:p>
    <w:p w14:paraId="7E27AC9E">
      <w:pPr>
        <w:spacing w:before="0" w:after="0" w:line="360" w:lineRule="auto"/>
        <w:ind w:left="425" w:right="425" w:firstLine="0"/>
        <w:jc w:val="both"/>
        <w:rPr>
          <w:szCs w:val="21"/>
          <w:highlight w:val="none"/>
        </w:rPr>
      </w:pPr>
      <w: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a regime-aware mixture routing mechanism driven by scenario-conditioned non-stationary decomposition. The proposed method maps trend, seasonal, and disturbance structures into the expert space and conditions the gating network on both calendar scenarios and window-level regime states. Experiments on railway hub operation data show that the original MoE-Rail achieves a test MAPE of 19.41%. Additional RAMR experiments show that scenario-aware routing and regime-aware routing reduce test MAPE by 1.56 and 0.49 percentage points compared with their corresponding ablations. Gating visualization further indicates that the model adaptively adjusts short-term, long-term, and distribution-shift experts under different regimes, providing an interpretable routing mechanism for non-stationary railway passenger flow forecasting.</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4"/>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hint="default" w:ascii="Times New Roman" w:hAnsi="Times New Roman" w:eastAsia="宋体"/>
          <w:b w:val="0"/>
          <w:i w:val="0"/>
          <w:sz w:val="21"/>
          <w:szCs w:val="21"/>
          <w:highlight w:val="none"/>
        </w:rPr>
        <w:t>尽管如此，单一深度网络仍难以在统一参数空间内兼顾日内高频波动与中长期周期演化，铁路客流在非平稳、多模式叠加下更易出现多尺度优化冲突。从生成机制看，日粒度序列可近似表示为</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X</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，其中</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分别对应长期趋势、周期节律与随机扰动。</w:t>
      </w:r>
      <w:r>
        <w:rPr>
          <w:rFonts w:ascii="Times New Roman" w:hAnsi="Times New Roman" w:eastAsia="宋体"/>
          <w:b w:val="0"/>
          <w:i w:val="0"/>
          <w:sz w:val="21"/>
          <w:highlight w:val="none"/>
        </w:rPr>
        <w:t>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w:t>
      </w:r>
      <w:r>
        <w:rPr>
          <w:rFonts w:hint="default"/>
          <w:i/>
          <w:iCs/>
          <w:szCs w:val="21"/>
          <w:highlight w:val="none"/>
        </w:rPr>
        <w:t>T/S/R</w:t>
      </w:r>
      <w:r>
        <w:rPr>
          <w:rFonts w:ascii="Times New Roman" w:hAnsi="Times New Roman" w:eastAsia="宋体"/>
          <w:b w:val="0"/>
          <w:i w:val="0"/>
          <w:sz w:val="21"/>
          <w:highlight w:val="none"/>
        </w:rPr>
        <w:t>生成机制及节假日、星期等日历场景的可解释对齐，在枢纽高密度运行下仍难以稳定协调短期突发与中长期周期，易出现专家利用不均衡或分工失衡。</w:t>
      </w:r>
    </w:p>
    <w:p w14:paraId="521CB0F6">
      <w:pPr>
        <w:spacing w:line="360" w:lineRule="auto"/>
        <w:ind w:firstLine="420"/>
        <w:rPr>
          <w:rFonts w:hint="default"/>
          <w:szCs w:val="21"/>
          <w:highlight w:val="none"/>
        </w:rPr>
      </w:pPr>
      <w: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局部高频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30"/>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8"/>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hint="default" w:ascii="Times New Roman" w:hAnsi="Times New Roman" w:eastAsia="宋体"/>
          <w:b w:val="0"/>
          <w:i w:val="0"/>
          <w:sz w:val="21"/>
          <w:szCs w:val="21"/>
          <w:highlight w:val="none"/>
        </w:rPr>
        <w:t>日粒度铁路客流序列可近似表示为</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X</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eastAsia" w:ascii="Times New Roman" w:hAnsi="Times New Roman" w:eastAsia="宋体"/>
          <w:b w:val="0"/>
          <w:i w:val="0"/>
          <w:sz w:val="21"/>
          <w:szCs w:val="21"/>
          <w:highlight w:val="none"/>
          <w:lang w:val="en-US" w:eastAsia="zh-CN"/>
        </w:rPr>
        <w:t>,</w:t>
      </w:r>
      <w:r>
        <w:rPr>
          <w:rFonts w:ascii="Times New Roman" w:hAnsi="Times New Roman" w:eastAsia="宋体"/>
          <w:b w:val="0"/>
          <w:i w:val="0"/>
          <w:sz w:val="21"/>
          <w:szCs w:val="21"/>
          <w:highlight w:val="none"/>
        </w:rPr>
        <w:t>其中</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ascii="Times New Roman" w:hAnsi="Times New Roman" w:eastAsia="宋体"/>
          <w:b w:val="0"/>
          <w:i w:val="0"/>
          <w:sz w:val="21"/>
          <w:szCs w:val="21"/>
          <w:highlight w:val="none"/>
        </w:rPr>
        <w:t>分别对应长期趋势、周期节律与随机扰动。本文不对序列进行显式在线分解，而是将短期依赖专家、长期依赖专家与统计特征专家分别作为与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ascii="Times New Roman" w:hAnsi="Times New Roman" w:eastAsia="宋体"/>
          <w:b w:val="0"/>
          <w:i w:val="0"/>
          <w:sz w:val="21"/>
          <w:szCs w:val="21"/>
          <w:highlight w:val="none"/>
        </w:rPr>
        <w:t>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4"/>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b w:val="0"/>
          <w:i w:val="0"/>
          <w:sz w:val="21"/>
          <w:szCs w:val="21"/>
          <w:highlight w:val="none"/>
        </w:rPr>
        <w:t>为有效刻画铁路客流序列在不同时间尺度上的演化规律，本文提出</w:t>
      </w:r>
      <w:r>
        <w:rPr>
          <w:rFonts w:hint="eastAsia" w:ascii="Times New Roman" w:hAnsi="Times New Roman" w:eastAsia="宋体"/>
          <w:b w:val="0"/>
          <w:bCs/>
          <w:i w:val="0"/>
          <w:sz w:val="21"/>
          <w:szCs w:val="21"/>
          <w:highlight w:val="none"/>
          <w:lang w:eastAsia="zh-CN"/>
        </w:rPr>
        <w:t>MoE-Rail</w:t>
      </w:r>
      <w:r>
        <w:rPr>
          <w:rFonts w:ascii="Times New Roman" w:hAnsi="Times New Roman" w:eastAsia="宋体"/>
          <w:b w:val="0"/>
          <w:bCs/>
          <w:i w:val="0"/>
          <w:sz w:val="21"/>
          <w:szCs w:val="21"/>
          <w:highlight w:val="none"/>
        </w:rPr>
        <w:t>多专家协同预测模型。</w:t>
      </w:r>
      <w:r>
        <w:rPr>
          <w:rFonts w:ascii="Times New Roman" w:hAnsi="Times New Roman" w:eastAsia="宋体"/>
          <w:b w:val="0"/>
          <w:i w:val="0"/>
          <w:sz w:val="21"/>
          <w:szCs w:val="21"/>
          <w:highlight w:val="none"/>
        </w:rPr>
        <w:t>该模型基于Mixture-of-Experts框架构建，通过多个功能专门化专家网络对客流模式进行分解建模，并利用门控机制实现专家能力的自适应融合。整体结构如图1所示，</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模型集成三个功能专门化的专家网络模块，各专家分别聚焦于不同时间尺度下铁路客流序列的演化模式，包括短期依赖专家（ShortTermExpert）、长期依赖专家（LongTermExpert）和统计特征专家（StatisticExpert）</w:t>
      </w:r>
      <w:r>
        <w:rPr>
          <w:rFonts w:hint="eastAsia" w:ascii="Times New Roman" w:hAnsi="Times New Roman" w:eastAsia="宋体"/>
          <w:b w:val="0"/>
          <w:i w:val="0"/>
          <w:sz w:val="21"/>
          <w:szCs w:val="21"/>
          <w:highlight w:val="none"/>
          <w:lang w:eastAsia="zh-CN"/>
        </w:rPr>
        <w:t>，</w:t>
      </w:r>
      <w:r>
        <w:rPr>
          <w:rFonts w:ascii="Times New Roman" w:hAnsi="Times New Roman" w:eastAsia="宋体"/>
          <w:b w:val="0"/>
          <w:i w:val="0"/>
          <w:sz w:val="21"/>
          <w:szCs w:val="21"/>
          <w:highlight w:val="none"/>
        </w:rPr>
        <w:t>在分解引导框架下分别对应</w:t>
      </w:r>
      <w:r>
        <w:rPr>
          <w:rFonts w:hint="default" w:ascii="Times New Roman" w:hAnsi="Times New Roman" w:eastAsia="宋体"/>
          <w:b w:val="0"/>
          <w:i w:val="0"/>
          <w:sz w:val="21"/>
          <w:szCs w:val="21"/>
          <w:highlight w:val="none"/>
        </w:rPr>
        <w:t> </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eastAsia" w:ascii="Times New Roman" w:hAnsi="Times New Roman" w:eastAsia="宋体"/>
          <w:b w:val="0"/>
          <w:i w:val="0"/>
          <w:sz w:val="21"/>
          <w:szCs w:val="21"/>
          <w:highlight w:val="none"/>
          <w:lang w:val="en-US" w:eastAsia="zh-CN"/>
        </w:rPr>
        <w:t>和</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相关模式。</w:t>
      </w:r>
      <w:r>
        <w:rPr>
          <w:rFonts w:ascii="Times New Roman" w:hAnsi="Times New Roman" w:eastAsia="宋体"/>
          <w:b w:val="0"/>
          <w:i w:val="0"/>
          <w:sz w:val="21"/>
          <w:szCs w:val="21"/>
          <w:highlight w:val="none"/>
        </w:rPr>
        <w:t>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宋体"/>
          <w:color w:val="000000"/>
          <w:sz w:val="18"/>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t>（3）分布偏移专家（Robust Distribution Shift Expert）</w:t>
      </w:r>
    </w:p>
    <w:p w14:paraId="1774DED2">
      <w:pPr>
        <w:overflowPunct w:val="0"/>
        <w:autoSpaceDE w:val="0"/>
        <w:spacing w:line="360" w:lineRule="auto"/>
        <w:ind w:firstLine="420"/>
        <w:rPr>
          <w:szCs w:val="21"/>
          <w:highlight w:val="none"/>
        </w:rPr>
      </w:pPr>
      <w: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4"/>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铁路客流预测任务中，不同时段与不同场景下的客流变化规律存在明显差异。例如，工作日早晚高峰阶段的客流变化更依赖短时动态信息，周末或节假日期间的客流演化则更受长期周期性规律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oMath>
      <w:r>
        <w:rPr>
          <w:rFonts w:ascii="Times New Roman" w:hAnsi="Times New Roman" w:eastAsia="宋体"/>
          <w:b w:val="0"/>
          <w:i w:val="0"/>
          <w:sz w:val="21"/>
          <w:szCs w:val="21"/>
          <w:highlight w:val="none"/>
        </w:rPr>
        <w:t>表示模型的最终预测输出，</w:t>
      </w:r>
      <m:oMath>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X</m:t>
        </m:r>
        <m:r>
          <m:rPr/>
          <w:rPr>
            <w:rFonts w:ascii="Cambria Math" w:hAnsi="Cambria Math"/>
            <w:highlight w:val="none"/>
          </w:rPr>
          <m:t>)</m:t>
        </m:r>
      </m:oMath>
      <w:r>
        <w:rPr>
          <w:rFonts w:ascii="Times New Roman" w:hAnsi="Times New Roman" w:eastAsia="宋体"/>
          <w:b w:val="0"/>
          <w:i w:val="0"/>
          <w:sz w:val="21"/>
          <w:szCs w:val="21"/>
          <w:highlight w:val="none"/>
        </w:rPr>
        <w:t>为第k个专家网络对输入序列</w:t>
      </w:r>
      <m:oMath>
        <m:r>
          <m:rPr>
            <m:sty m:val="p"/>
          </m:rPr>
          <w:rPr>
            <w:rFonts w:ascii="Cambria Math" w:hAnsi="Cambria Math"/>
            <w:highlight w:val="none"/>
          </w:rPr>
          <m:t>X</m:t>
        </m:r>
      </m:oMath>
      <w:r>
        <w:rPr>
          <w:rFonts w:ascii="Times New Roman" w:hAnsi="Times New Roman" w:eastAsia="宋体"/>
          <w:b w:val="0"/>
          <w:i w:val="0"/>
          <w:sz w:val="21"/>
          <w:szCs w:val="21"/>
          <w:highlight w:val="none"/>
        </w:rPr>
        <w:t>给出的预测结果，</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为分配给第k个专家的权重系数，K为专家网络总数。</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该机制整合短期依赖专家（局部周期与短程依赖）、长期依赖专家（跨周/跨月趋势）、统计特征专家（分布扰动与异常），实现对铁路客流多尺度模式的协同预测。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4"/>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负载均衡损失由平均权重的方差项与偏离均匀分布的惩罚项共同构成：</w:t>
      </w:r>
    </w:p>
    <w:p w14:paraId="15E435A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6</w:t>
      </w:r>
      <w:r>
        <w:rPr>
          <w:rFonts w:ascii="Times New Roman" w:hAnsi="Times New Roman" w:eastAsia="宋体"/>
          <w:b w:val="0"/>
          <w:i w:val="0"/>
          <w:sz w:val="21"/>
          <w:szCs w:val="21"/>
          <w:highlight w:val="none"/>
        </w:rPr>
        <w:t>)</w:t>
      </w:r>
    </w:p>
    <w:p w14:paraId="6EEAD24E">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为各专家在当前批次上的平均权重向量，</w:t>
      </w:r>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w:r>
        <w:rPr>
          <w:rFonts w:ascii="Times New Roman" w:hAnsi="Times New Roman" w:eastAsia="宋体"/>
          <w:b w:val="0"/>
          <w:i w:val="0"/>
          <w:sz w:val="21"/>
          <w:szCs w:val="21"/>
          <w:highlight w:val="none"/>
        </w:rPr>
        <w:t>表示对该向量</w:t>
      </w:r>
      <w:r>
        <w:rPr>
          <w:rFonts w:hint="eastAsia" w:ascii="Times New Roman" w:hAnsi="Times New Roman" w:eastAsia="宋体"/>
          <w:b w:val="0"/>
          <w:i w:val="0"/>
          <w:sz w:val="21"/>
          <w:szCs w:val="21"/>
          <w:highlight w:val="none"/>
          <w:lang w:val="en-US" w:eastAsia="zh-CN"/>
        </w:rPr>
        <w:t>各分量</w:t>
      </w:r>
      <w:r>
        <w:rPr>
          <w:rFonts w:ascii="Times New Roman" w:hAnsi="Times New Roman" w:eastAsia="宋体"/>
          <w:b w:val="0"/>
          <w:i w:val="0"/>
          <w:sz w:val="21"/>
          <w:szCs w:val="21"/>
          <w:highlight w:val="none"/>
        </w:rPr>
        <w:t>的方差计算。</w:t>
      </w:r>
      <w:r>
        <w:rPr>
          <w:rFonts w:ascii="Times New Roman" w:hAnsi="Times New Roman" w:eastAsia="宋体" w:cs="Segoe UI"/>
          <w:b w:val="0"/>
          <w:i w:val="0"/>
          <w:iCs w:val="0"/>
          <w:caps w:val="0"/>
          <w:color w:val="000000"/>
          <w:spacing w:val="0"/>
          <w:sz w:val="21"/>
          <w:szCs w:val="21"/>
          <w:highlight w:val="none"/>
          <w:shd w:val="clear" w:fill="FFFFFF"/>
        </w:rPr>
        <w:t>第二项用于惩罚各专家负载</w:t>
      </w:r>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hint="default" w:ascii="Times New Roman" w:hAnsi="Times New Roman" w:eastAsia="宋体" w:cs="Segoe UI"/>
          <w:b w:val="0"/>
          <w:i w:val="0"/>
          <w:iCs w:val="0"/>
          <w:caps w:val="0"/>
          <w:color w:val="000000"/>
          <w:spacing w:val="0"/>
          <w:sz w:val="21"/>
          <w:szCs w:val="21"/>
          <w:highlight w:val="none"/>
          <w:shd w:val="clear" w:fill="FFFFFF"/>
        </w:rPr>
        <w:t>偏离均匀水平</w:t>
      </w:r>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hint="default" w:ascii="Times New Roman" w:hAnsi="Times New Roman" w:eastAsia="宋体" w:cs="Segoe UI"/>
          <w:b w:val="0"/>
          <w:i w:val="0"/>
          <w:iCs w:val="0"/>
          <w:caps w:val="0"/>
          <w:color w:val="000000"/>
          <w:spacing w:val="0"/>
          <w:sz w:val="21"/>
          <w:szCs w:val="21"/>
          <w:highlight w:val="none"/>
          <w:shd w:val="clear" w:fill="FFFFFF"/>
        </w:rPr>
        <w:t>的程度，</w:t>
      </w:r>
      <w:r>
        <w:rPr>
          <w:rFonts w:hint="default" w:ascii="Times New Roman" w:hAnsi="Times New Roman" w:eastAsia="宋体" w:cs="Times New Roman"/>
          <w:b w:val="0"/>
          <w:i w:val="0"/>
          <w:caps w:val="0"/>
          <w:color w:val="000000"/>
          <w:spacing w:val="0"/>
          <w:sz w:val="21"/>
          <w:szCs w:val="25"/>
          <w:highlight w:val="none"/>
          <w:shd w:val="clear" w:fill="FFFFFF"/>
        </w:rPr>
        <w:t>K=3</w:t>
      </w:r>
      <w:r>
        <w:rPr>
          <w:rFonts w:hint="default" w:ascii="Times New Roman" w:hAnsi="Times New Roman" w:eastAsia="宋体" w:cs="Segoe UI"/>
          <w:b w:val="0"/>
          <w:i w:val="0"/>
          <w:iCs w:val="0"/>
          <w:caps w:val="0"/>
          <w:color w:val="000000"/>
          <w:spacing w:val="0"/>
          <w:sz w:val="21"/>
          <w:szCs w:val="21"/>
          <w:highlight w:val="none"/>
          <w:shd w:val="clear" w:fill="FFFFFF"/>
        </w:rPr>
        <w:t>。</w:t>
      </w:r>
      <w:r>
        <w:rPr>
          <w:rFonts w:ascii="Times New Roman" w:hAnsi="Times New Roman" w:eastAsia="宋体"/>
          <w:b w:val="0"/>
          <w:i w:val="0"/>
          <w:sz w:val="21"/>
          <w:szCs w:val="21"/>
          <w:highlight w:val="none"/>
        </w:rPr>
        <w:t>该损失项鼓励各专家权重接近均匀分布，抑制权重波动过大，从而提升专家利用的均衡性。</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30"/>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2.1  数据集描述</w:t>
      </w:r>
    </w:p>
    <w:p w14:paraId="7A3324B1">
      <w:pPr>
        <w:overflowPunct w:val="0"/>
        <w:autoSpaceDE w:val="0"/>
        <w:spacing w:line="360" w:lineRule="auto"/>
        <w:ind w:firstLine="420"/>
        <w:rPr>
          <w:szCs w:val="21"/>
          <w:highlight w:val="none"/>
        </w:rPr>
      </w:pPr>
      <w:r>
        <w:t>本研究采用某铁路枢纽站与10个关联方向站点之间的真实运营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2.2  基线模型</w:t>
      </w:r>
    </w:p>
    <w:p w14:paraId="724411FF">
      <w:pPr>
        <w:overflowPunct w:val="0"/>
        <w:autoSpaceDE w:val="0"/>
        <w:spacing w:before="0" w:after="0" w:line="360" w:lineRule="auto"/>
        <w:ind w:firstLine="420"/>
        <w:jc w:val="both"/>
        <w:rPr>
          <w:szCs w:val="21"/>
          <w:highlight w:val="none"/>
        </w:rPr>
      </w:pPr>
      <w:r>
        <w:t>为了全面验证所提方法的性能，除历史平均值、随机森林、FNN、FCGRU、VAR和TSMixer外，修订实验建议进一步纳入DLinear、PatchTST、iTransformer、TimeMixer和FreEformer等现代强基线，以避免仅与传统模型比较造成基线过弱的问题。受本轮复现实验时间限制，本文已先完成RAMR关键消融与门控解释实验，现代强基线结果将作为补充实验继续完善。</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2.3  实验设置</w:t>
      </w:r>
    </w:p>
    <w:p w14:paraId="29B16413">
      <w:pPr>
        <w:overflowPunct w:val="0"/>
        <w:autoSpaceDE w:val="0"/>
        <w:spacing w:before="0" w:after="0" w:line="360" w:lineRule="auto"/>
        <w:ind w:firstLine="420"/>
        <w:jc w:val="both"/>
        <w:rPr>
          <w:szCs w:val="21"/>
          <w:highlight w:val="none"/>
        </w:rPr>
      </w:pPr>
      <w: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2.5  客流预测结果对比分析</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hint="default" w:ascii="Times New Roman" w:hAnsi="Times New Roman" w:eastAsia="宋体"/>
          <w:b w:val="0"/>
          <w:i w:val="0"/>
          <w:sz w:val="21"/>
          <w:szCs w:val="21"/>
          <w:highlight w:val="none"/>
          <w:lang w:val="en-US" w:eastAsia="zh-CN"/>
        </w:rPr>
        <w:t>图2对预测结果进行了图形化展示；表1汇总了MoE-Rail与6种代表性基线方法的性能对比。实验结果表明，MoE-Rail模型表现最优，MAPE为19.41%，为全部方法中最低，较FNN（33.80%）、TSMixer（38.17%）分别降低14.39、18.76个百分点。说明本文方法在铁路客流预测任务中具有更强的建模能力。</w:t>
      </w:r>
    </w:p>
    <w:p w14:paraId="3DDB617F">
      <w:pPr>
        <w:overflowPunct w:val="0"/>
        <w:autoSpaceDE w:val="0"/>
        <w:spacing w:line="360" w:lineRule="auto"/>
        <w:ind w:firstLine="420"/>
        <w:rPr>
          <w:szCs w:val="21"/>
          <w:highlight w:val="none"/>
        </w:rPr>
      </w:pPr>
      <w:r>
        <w:rPr>
          <w:rFonts w:hint="default" w:ascii="Times New Roman" w:hAnsi="Times New Roman" w:eastAsia="宋体"/>
          <w:b w:val="0"/>
          <w:i w:val="0"/>
          <w:sz w:val="21"/>
          <w:szCs w:val="21"/>
          <w:highlight w:val="none"/>
          <w:lang w:val="en-US" w:eastAsia="zh-CN"/>
        </w:rPr>
        <w:t>MoE-Rail性能提升主要原因在于：在分解引导框架下，短期依赖、长期依赖与统计特征三类异构专家分别刻画与St、Tt、Rt相关的短期波动、长期周期性与统计分布特征</w:t>
      </w:r>
      <w:r>
        <w:rPr>
          <w:rFonts w:hint="eastAsia" w:ascii="Times New Roman" w:hAnsi="Times New Roman" w:eastAsia="宋体"/>
          <w:b w:val="0"/>
          <w:i w:val="0"/>
          <w:sz w:val="21"/>
          <w:szCs w:val="21"/>
          <w:highlight w:val="none"/>
          <w:lang w:val="en-US" w:eastAsia="zh-CN"/>
        </w:rPr>
        <w:t>，</w:t>
      </w:r>
      <w:r>
        <w:rPr>
          <w:rFonts w:hint="default" w:ascii="Times New Roman" w:hAnsi="Times New Roman" w:eastAsia="宋体"/>
          <w:b w:val="0"/>
          <w:i w:val="0"/>
          <w:sz w:val="21"/>
          <w:szCs w:val="21"/>
          <w:highlight w:val="none"/>
          <w:lang w:val="en-US" w:eastAsia="zh-CN"/>
        </w:rPr>
        <w:t>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从而增强模型的稳定性与泛化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sz w:val="18"/>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sz w:val="18"/>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sz w:val="18"/>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sz w:val="18"/>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sz w:val="18"/>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sz w:val="18"/>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sz w:val="18"/>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sz w:val="18"/>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sz w:val="18"/>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sz w:val="18"/>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sz w:val="18"/>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sz w:val="18"/>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sz w:val="18"/>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sz w:val="18"/>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sz w:val="18"/>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sz w:val="18"/>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sz w:val="18"/>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sz w:val="18"/>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sz w:val="18"/>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sz w:val="18"/>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sz w:val="18"/>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sz w:val="18"/>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sz w:val="18"/>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sz w:val="18"/>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sz w:val="18"/>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sz w:val="18"/>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sz w:val="18"/>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sz w:val="18"/>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b/>
                <w:bCs/>
                <w:sz w:val="18"/>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b/>
                <w:bCs/>
                <w:sz w:val="18"/>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b/>
                <w:bCs/>
                <w:sz w:val="18"/>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b/>
                <w:bCs/>
                <w:sz w:val="18"/>
                <w:szCs w:val="18"/>
                <w:highlight w:val="none"/>
              </w:rPr>
              <w:t>19.41%</w:t>
            </w:r>
          </w:p>
        </w:tc>
      </w:tr>
    </w:tbl>
    <w:p w14:paraId="6D001112">
      <w:pPr>
        <w:overflowPunct w:val="0"/>
        <w:autoSpaceDE w:val="0"/>
        <w:spacing w:line="314" w:lineRule="exact"/>
        <w:rPr>
          <w:szCs w:val="21"/>
          <w:highlight w:val="none"/>
        </w:rPr>
      </w:pPr>
      <w:r>
        <w:rPr>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hint="default" w:ascii="Times New Roman" w:hAnsi="Times New Roman" w:eastAsia="宋体"/>
          <w:b w:val="0"/>
          <w:i w:val="0"/>
          <w:sz w:val="21"/>
          <w:szCs w:val="21"/>
          <w:highlight w:val="none"/>
          <w:lang w:val="en-US" w:eastAsia="zh-CN"/>
        </w:rPr>
        <w:t>由图2可见，MoE-Rail在峰值与低谷时段均更贴近真实客流，尤其在节假日等强波动区间跟踪误差更小，与表1中MAPE=19.41%的定量结论一致。</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t>实验设置</w:t>
            </w:r>
          </w:p>
        </w:tc>
        <w:tc>
          <w:tcPr>
            <w:tcW w:type="dxa" w:w="1882"/>
          </w:tcPr>
          <w:p>
            <w:r>
              <w:t>验证MAPE/%</w:t>
            </w:r>
          </w:p>
        </w:tc>
        <w:tc>
          <w:tcPr>
            <w:tcW w:type="dxa" w:w="1882"/>
          </w:tcPr>
          <w:p>
            <w:r>
              <w:t>测试MAPE/%</w:t>
            </w:r>
          </w:p>
        </w:tc>
        <w:tc>
          <w:tcPr>
            <w:tcW w:type="dxa" w:w="1882"/>
          </w:tcPr>
          <w:p>
            <w:r>
              <w:t>MSE</w:t>
            </w:r>
          </w:p>
        </w:tc>
        <w:tc>
          <w:tcPr>
            <w:tcW w:type="dxa" w:w="1882"/>
          </w:tcPr>
          <w:p>
            <w:r>
              <w:t>MAE</w:t>
            </w:r>
          </w:p>
        </w:tc>
      </w:tr>
      <w:tr>
        <w:tc>
          <w:tcPr>
            <w:tcW w:type="dxa" w:w="1882"/>
          </w:tcPr>
          <w:p>
            <w:r>
              <w:t>RAMR完整模型（scene+regime+robust）</w:t>
            </w:r>
          </w:p>
        </w:tc>
        <w:tc>
          <w:tcPr>
            <w:tcW w:type="dxa" w:w="1882"/>
          </w:tcPr>
          <w:p>
            <w:r>
              <w:t>32.73</w:t>
            </w:r>
          </w:p>
        </w:tc>
        <w:tc>
          <w:tcPr>
            <w:tcW w:type="dxa" w:w="1882"/>
          </w:tcPr>
          <w:p>
            <w:r>
              <w:t>20.88</w:t>
            </w:r>
          </w:p>
        </w:tc>
        <w:tc>
          <w:tcPr>
            <w:tcW w:type="dxa" w:w="1882"/>
          </w:tcPr>
          <w:p>
            <w:r>
              <w:t>0.043960</w:t>
            </w:r>
          </w:p>
        </w:tc>
        <w:tc>
          <w:tcPr>
            <w:tcW w:type="dxa" w:w="1882"/>
          </w:tcPr>
          <w:p>
            <w:r>
              <w:t>0.151176</w:t>
            </w:r>
          </w:p>
        </w:tc>
      </w:tr>
      <w:tr>
        <w:tc>
          <w:tcPr>
            <w:tcW w:type="dxa" w:w="1882"/>
          </w:tcPr>
          <w:p>
            <w:r>
              <w:t>无regime路由</w:t>
            </w:r>
          </w:p>
        </w:tc>
        <w:tc>
          <w:tcPr>
            <w:tcW w:type="dxa" w:w="1882"/>
          </w:tcPr>
          <w:p>
            <w:r>
              <w:t>32.47</w:t>
            </w:r>
          </w:p>
        </w:tc>
        <w:tc>
          <w:tcPr>
            <w:tcW w:type="dxa" w:w="1882"/>
          </w:tcPr>
          <w:p>
            <w:r>
              <w:t>21.37</w:t>
            </w:r>
          </w:p>
        </w:tc>
        <w:tc>
          <w:tcPr>
            <w:tcW w:type="dxa" w:w="1882"/>
          </w:tcPr>
          <w:p>
            <w:r>
              <w:t>0.041662</w:t>
            </w:r>
          </w:p>
        </w:tc>
        <w:tc>
          <w:tcPr>
            <w:tcW w:type="dxa" w:w="1882"/>
          </w:tcPr>
          <w:p>
            <w:r>
              <w:t>0.151356</w:t>
            </w:r>
          </w:p>
        </w:tc>
      </w:tr>
      <w:tr>
        <w:tc>
          <w:tcPr>
            <w:tcW w:type="dxa" w:w="1882"/>
          </w:tcPr>
          <w:p>
            <w:r>
              <w:t>无场景门控</w:t>
            </w:r>
          </w:p>
        </w:tc>
        <w:tc>
          <w:tcPr>
            <w:tcW w:type="dxa" w:w="1882"/>
          </w:tcPr>
          <w:p>
            <w:r>
              <w:t>32.75</w:t>
            </w:r>
          </w:p>
        </w:tc>
        <w:tc>
          <w:tcPr>
            <w:tcW w:type="dxa" w:w="1882"/>
          </w:tcPr>
          <w:p>
            <w:r>
              <w:t>22.44</w:t>
            </w:r>
          </w:p>
        </w:tc>
        <w:tc>
          <w:tcPr>
            <w:tcW w:type="dxa" w:w="1882"/>
          </w:tcPr>
          <w:p>
            <w:r>
              <w:t>0.048092</w:t>
            </w:r>
          </w:p>
        </w:tc>
        <w:tc>
          <w:tcPr>
            <w:tcW w:type="dxa" w:w="1882"/>
          </w:tcPr>
          <w:p>
            <w:r>
              <w:t>0.161865</w:t>
            </w:r>
          </w:p>
        </w:tc>
      </w:tr>
      <w:tr>
        <w:tc>
          <w:tcPr>
            <w:tcW w:type="dxa" w:w="1882"/>
          </w:tcPr>
          <w:p>
            <w:r>
              <w:t>统计专家basic（mean/std/max）</w:t>
            </w:r>
          </w:p>
        </w:tc>
        <w:tc>
          <w:tcPr>
            <w:tcW w:type="dxa" w:w="1882"/>
          </w:tcPr>
          <w:p>
            <w:r>
              <w:t>33.24</w:t>
            </w:r>
          </w:p>
        </w:tc>
        <w:tc>
          <w:tcPr>
            <w:tcW w:type="dxa" w:w="1882"/>
          </w:tcPr>
          <w:p>
            <w:r>
              <w:t>19.74</w:t>
            </w:r>
          </w:p>
        </w:tc>
        <w:tc>
          <w:tcPr>
            <w:tcW w:type="dxa" w:w="1882"/>
          </w:tcPr>
          <w:p>
            <w:r>
              <w:t>0.040482</w:t>
            </w:r>
          </w:p>
        </w:tc>
        <w:tc>
          <w:tcPr>
            <w:tcW w:type="dxa" w:w="1882"/>
          </w:tcPr>
          <w:p>
            <w:r>
              <w:t>0.148277</w:t>
            </w:r>
          </w:p>
        </w:tc>
      </w:tr>
      <w:tr>
        <w:tc>
          <w:tcPr>
            <w:tcW w:type="dxa" w:w="1882"/>
          </w:tcPr>
          <w:p>
            <w:r>
              <w:t>统计专家quantile</w:t>
            </w:r>
          </w:p>
        </w:tc>
        <w:tc>
          <w:tcPr>
            <w:tcW w:type="dxa" w:w="1882"/>
          </w:tcPr>
          <w:p>
            <w:r>
              <w:t>29.79</w:t>
            </w:r>
          </w:p>
        </w:tc>
        <w:tc>
          <w:tcPr>
            <w:tcW w:type="dxa" w:w="1882"/>
          </w:tcPr>
          <w:p>
            <w:r>
              <w:t>19.96</w:t>
            </w:r>
          </w:p>
        </w:tc>
        <w:tc>
          <w:tcPr>
            <w:tcW w:type="dxa" w:w="1882"/>
          </w:tcPr>
          <w:p>
            <w:r>
              <w:t>0.039693</w:t>
            </w:r>
          </w:p>
        </w:tc>
        <w:tc>
          <w:tcPr>
            <w:tcW w:type="dxa" w:w="1882"/>
          </w:tcPr>
          <w:p>
            <w:r>
              <w:t>0.148368</w:t>
            </w:r>
          </w:p>
        </w:tc>
      </w:tr>
      <w:tr>
        <w:tc>
          <w:tcPr>
            <w:tcW w:type="dxa" w:w="1882"/>
          </w:tcPr>
          <w:p>
            <w:r>
              <w:t>方差负载均衡</w:t>
            </w:r>
          </w:p>
        </w:tc>
        <w:tc>
          <w:tcPr>
            <w:tcW w:type="dxa" w:w="1882"/>
          </w:tcPr>
          <w:p>
            <w:r>
              <w:t>32.95</w:t>
            </w:r>
          </w:p>
        </w:tc>
        <w:tc>
          <w:tcPr>
            <w:tcW w:type="dxa" w:w="1882"/>
          </w:tcPr>
          <w:p>
            <w:r>
              <w:t>20.91</w:t>
            </w:r>
          </w:p>
        </w:tc>
        <w:tc>
          <w:tcPr>
            <w:tcW w:type="dxa" w:w="1882"/>
          </w:tcPr>
          <w:p>
            <w:r>
              <w:t>0.045297</w:t>
            </w:r>
          </w:p>
        </w:tc>
        <w:tc>
          <w:tcPr>
            <w:tcW w:type="dxa" w:w="1882"/>
          </w:tcPr>
          <w:p>
            <w:r>
              <w:t>0.154411</w:t>
            </w:r>
          </w:p>
        </w:tc>
      </w:tr>
    </w:tbl>
    <w:p>
      <w:r>
        <w:t>注：测试指标均使用对应实验的验证集最优checkpoint重新评估得到；best_model_latest.pth不一定等同于验证集最优模型。</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sz w:val="18"/>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sz w:val="18"/>
                <w:szCs w:val="18"/>
                <w:highlight w:val="none"/>
              </w:rPr>
              <w:t>移除的专家</w:t>
            </w:r>
            <w:r>
              <w:rPr>
                <w:rFonts w:hint="eastAsia"/>
                <w:sz w:val="18"/>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sz w:val="18"/>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sz w:val="18"/>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sz w:val="18"/>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Times New Roman" w:cs="Times New Roman"/>
                <w:i w:val="0"/>
                <w:iCs w:val="0"/>
                <w:caps w:val="0"/>
                <w:color w:val="000000"/>
                <w:spacing w:val="0"/>
                <w:sz w:val="25"/>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sz w:val="18"/>
                <w:szCs w:val="18"/>
                <w:highlight w:val="none"/>
                <w:lang w:eastAsia="zh-CN"/>
              </w:rPr>
              <w:t>MoE-Rail</w:t>
            </w:r>
            <w:r>
              <w:rPr>
                <w:sz w:val="18"/>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sz w:val="18"/>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sz w:val="18"/>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sz w:val="18"/>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sz w:val="18"/>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Segoe UI" w:hAnsi="Segoe UI" w:eastAsia="Segoe UI" w:cs="Segoe UI"/>
                <w:i w:val="0"/>
                <w:iCs w:val="0"/>
                <w:caps w:val="0"/>
                <w:color w:val="000000"/>
                <w:spacing w:val="0"/>
                <w:sz w:val="21"/>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18CD88E3">
            <w:pPr>
              <w:spacing w:line="240" w:lineRule="exact"/>
              <w:jc w:val="center"/>
              <w:rPr>
                <w:sz w:val="18"/>
                <w:szCs w:val="18"/>
                <w:highlight w:val="none"/>
              </w:rPr>
            </w:pPr>
            <w:r>
              <w:rPr>
                <w:rFonts w:hint="eastAsia"/>
                <w:sz w:val="18"/>
                <w:szCs w:val="18"/>
                <w:highlight w:val="none"/>
                <w:lang w:eastAsia="zh-CN"/>
              </w:rPr>
              <w:t>MoE-Rail</w:t>
            </w:r>
            <w:r>
              <w:rPr>
                <w:sz w:val="18"/>
                <w:szCs w:val="18"/>
                <w:highlight w:val="none"/>
              </w:rPr>
              <w:t xml:space="preserve"> (w/o Statistic)</w:t>
            </w:r>
          </w:p>
        </w:tc>
        <w:tc>
          <w:tcPr>
            <w:tcW w:w="1003" w:type="pct"/>
            <w:tcBorders>
              <w:top w:val="nil"/>
              <w:left w:val="nil"/>
              <w:bottom w:val="nil"/>
              <w:right w:val="nil"/>
            </w:tcBorders>
            <w:vAlign w:val="center"/>
          </w:tcPr>
          <w:p w14:paraId="20091A06">
            <w:pPr>
              <w:spacing w:line="240" w:lineRule="exact"/>
              <w:jc w:val="center"/>
              <w:rPr>
                <w:sz w:val="18"/>
                <w:szCs w:val="18"/>
                <w:highlight w:val="none"/>
              </w:rPr>
            </w:pPr>
            <w:r>
              <w:rPr>
                <w:sz w:val="18"/>
                <w:szCs w:val="18"/>
                <w:highlight w:val="none"/>
              </w:rPr>
              <w:t>统计特征专家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sz w:val="18"/>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sz w:val="18"/>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sz w:val="18"/>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sz w:val="18"/>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sz w:val="18"/>
                <w:szCs w:val="18"/>
                <w:highlight w:val="none"/>
                <w:lang w:eastAsia="zh-CN"/>
              </w:rPr>
              <w:t>MoE-Rail</w:t>
            </w:r>
            <w:r>
              <w:rPr>
                <w:sz w:val="18"/>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sz w:val="18"/>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sz w:val="18"/>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sz w:val="18"/>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sz w:val="18"/>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sz w:val="18"/>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sz w:val="18"/>
                <w:szCs w:val="18"/>
                <w:highlight w:val="none"/>
                <w:lang w:eastAsia="zh-CN"/>
              </w:rPr>
              <w:t>MoE-Rail</w:t>
            </w:r>
            <w:r>
              <w:rPr>
                <w:sz w:val="18"/>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sz w:val="18"/>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sz w:val="18"/>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sz w:val="18"/>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sz w:val="18"/>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sz w:val="18"/>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8"/>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4"/>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t>对测试集各站点客流序列进行趋势、周期与残差扰动分解，并同步记录RAMR输出的短期、长期与分布偏移专家门控权重。由于节假日样本数有限，门控解释以场景箱线图、时序对照和波动率-权重散点图为主，并报告统计检验结果；若单站线性相关不显著，则不做过度因果解释。</w:t>
      </w:r>
    </w:p>
    <w:p w14:paraId="239E92C0">
      <w:pPr>
        <w:spacing w:before="0" w:after="0" w:line="360" w:lineRule="auto"/>
        <w:ind w:firstLine="0"/>
        <w:jc w:val="center"/>
        <w:rPr>
          <w:highlight w:val="none"/>
        </w:rPr>
      </w:pPr>
      <w:r>
        <w:rPr>
          <w:rFonts w:ascii="Times New Roman" w:hAnsi="Times New Roman" w:eastAsia="宋体"/>
          <w:b w:val="0"/>
          <w:i w:val="0"/>
          <w:sz w:val="21"/>
          <w:highlight w:val="none"/>
        </w:rPr>
        <w:t>表3汇总三类日历场景下各专家门控权重的样本均值，用于刻画场景感知门控的整体路由倾向。</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A2091EA">
            <w:pPr>
              <w:spacing w:line="240" w:lineRule="exact"/>
              <w:jc w:val="center"/>
              <w:rPr>
                <w:rFonts w:hint="default"/>
                <w:sz w:val="18"/>
                <w:szCs w:val="18"/>
                <w:highlight w:val="none"/>
              </w:rPr>
            </w:pPr>
            <w:r>
              <w:rPr>
                <w:rFonts w:hint="default"/>
                <w:sz w:val="18"/>
                <w:szCs w:val="18"/>
                <w:highlight w:val="none"/>
                <w:lang w:val="en-US" w:eastAsia="zh-CN"/>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667D927F">
            <w:pPr>
              <w:spacing w:line="240" w:lineRule="exact"/>
              <w:jc w:val="center"/>
              <w:rPr>
                <w:rFonts w:hint="default"/>
                <w:sz w:val="18"/>
                <w:szCs w:val="18"/>
                <w:highlight w:val="none"/>
              </w:rPr>
            </w:pPr>
            <w:r>
              <w:rPr>
                <w:rFonts w:hint="default"/>
                <w:sz w:val="18"/>
                <w:szCs w:val="18"/>
                <w:highlight w:val="none"/>
                <w:lang w:val="en-US" w:eastAsia="zh-CN"/>
              </w:rPr>
              <w:t>长期专家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7FEC3D9">
            <w:pPr>
              <w:spacing w:line="240" w:lineRule="exact"/>
              <w:jc w:val="center"/>
              <w:rPr>
                <w:rFonts w:hint="default"/>
                <w:sz w:val="18"/>
                <w:szCs w:val="18"/>
                <w:highlight w:val="none"/>
              </w:rPr>
            </w:pPr>
            <w:r>
              <w:rPr>
                <w:rFonts w:hint="default"/>
                <w:sz w:val="18"/>
                <w:szCs w:val="18"/>
                <w:highlight w:val="none"/>
                <w:lang w:val="en-US" w:eastAsia="zh-CN"/>
              </w:rPr>
              <w:t>短期专家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r>
              <w:rPr>
                <w:rFonts w:hint="default"/>
                <w:sz w:val="18"/>
                <w:szCs w:val="18"/>
                <w:highlight w:val="none"/>
                <w:lang w:val="en-US" w:eastAsia="zh-CN"/>
              </w:rPr>
              <w:t>​</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690CED1">
            <w:pPr>
              <w:spacing w:line="240" w:lineRule="exact"/>
              <w:jc w:val="center"/>
              <w:rPr>
                <w:rFonts w:hint="default"/>
                <w:sz w:val="18"/>
                <w:szCs w:val="18"/>
                <w:highlight w:val="none"/>
              </w:rPr>
            </w:pPr>
            <w:r>
              <w:rPr>
                <w:rFonts w:hint="default"/>
                <w:sz w:val="18"/>
                <w:szCs w:val="18"/>
                <w:highlight w:val="none"/>
                <w:lang w:val="en-US" w:eastAsia="zh-CN"/>
              </w:rPr>
              <w:t>统计专家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6CB3A15">
            <w:pPr>
              <w:spacing w:line="240" w:lineRule="exact"/>
              <w:jc w:val="center"/>
              <w:rPr>
                <w:rFonts w:hint="default"/>
                <w:sz w:val="18"/>
                <w:szCs w:val="18"/>
                <w:highlight w:val="none"/>
              </w:rPr>
            </w:pPr>
            <w:r>
              <w:rPr>
                <w:rFonts w:hint="default"/>
                <w:sz w:val="18"/>
                <w:szCs w:val="18"/>
                <w:highlight w:val="none"/>
                <w:lang w:val="en-US" w:eastAsia="zh-CN"/>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2414113">
            <w:pPr>
              <w:spacing w:line="240" w:lineRule="exact"/>
              <w:jc w:val="center"/>
              <w:rPr>
                <w:rFonts w:hint="default"/>
                <w:sz w:val="18"/>
                <w:szCs w:val="18"/>
                <w:highlight w:val="none"/>
              </w:rPr>
            </w:pPr>
            <w:r>
              <w:rPr>
                <w:rFonts w:hint="default"/>
                <w:sz w:val="18"/>
                <w:szCs w:val="18"/>
                <w:highlight w:val="none"/>
                <w:lang w:val="en-US" w:eastAsia="zh-CN"/>
              </w:rPr>
              <w:t>0.6237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3BBFA8AF">
            <w:pPr>
              <w:spacing w:line="240" w:lineRule="exact"/>
              <w:jc w:val="center"/>
              <w:rPr>
                <w:rFonts w:hint="default"/>
                <w:sz w:val="18"/>
                <w:szCs w:val="18"/>
                <w:highlight w:val="none"/>
              </w:rPr>
            </w:pPr>
            <w:r>
              <w:rPr>
                <w:rFonts w:hint="default"/>
                <w:sz w:val="18"/>
                <w:szCs w:val="18"/>
                <w:highlight w:val="none"/>
                <w:lang w:val="en-US" w:eastAsia="zh-CN"/>
              </w:rPr>
              <w:t>0.0853</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2251E0FD">
            <w:pPr>
              <w:spacing w:line="240" w:lineRule="exact"/>
              <w:jc w:val="center"/>
              <w:rPr>
                <w:rFonts w:hint="default"/>
                <w:sz w:val="18"/>
                <w:szCs w:val="18"/>
                <w:highlight w:val="none"/>
              </w:rPr>
            </w:pPr>
            <w:r>
              <w:rPr>
                <w:rFonts w:hint="default"/>
                <w:sz w:val="18"/>
                <w:szCs w:val="18"/>
                <w:highlight w:val="none"/>
                <w:lang w:val="en-US" w:eastAsia="zh-CN"/>
              </w:rPr>
              <w:t>0.2910</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14:paraId="44DC6A56">
            <w:pPr>
              <w:spacing w:line="240" w:lineRule="exact"/>
              <w:jc w:val="center"/>
              <w:rPr>
                <w:rFonts w:hint="default"/>
                <w:sz w:val="18"/>
                <w:szCs w:val="18"/>
                <w:highlight w:val="none"/>
              </w:rPr>
            </w:pPr>
            <w:r>
              <w:rPr>
                <w:rFonts w:hint="default"/>
                <w:sz w:val="18"/>
                <w:szCs w:val="18"/>
                <w:highlight w:val="none"/>
                <w:lang w:val="en-US" w:eastAsia="zh-CN"/>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0A44F137">
            <w:pPr>
              <w:spacing w:line="240" w:lineRule="exact"/>
              <w:jc w:val="center"/>
              <w:rPr>
                <w:rFonts w:hint="default"/>
                <w:sz w:val="18"/>
                <w:szCs w:val="18"/>
                <w:highlight w:val="none"/>
              </w:rPr>
            </w:pPr>
            <w:r>
              <w:rPr>
                <w:rFonts w:hint="default"/>
                <w:sz w:val="18"/>
                <w:szCs w:val="18"/>
                <w:highlight w:val="none"/>
                <w:lang w:val="en-US" w:eastAsia="zh-CN"/>
              </w:rPr>
              <w:t>0.5598</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14:paraId="71B80FE2">
            <w:pPr>
              <w:spacing w:line="240" w:lineRule="exact"/>
              <w:jc w:val="center"/>
              <w:rPr>
                <w:rFonts w:hint="default"/>
                <w:sz w:val="18"/>
                <w:szCs w:val="18"/>
                <w:highlight w:val="none"/>
              </w:rPr>
            </w:pPr>
            <w:r>
              <w:rPr>
                <w:rFonts w:hint="default"/>
                <w:sz w:val="18"/>
                <w:szCs w:val="18"/>
                <w:highlight w:val="none"/>
                <w:lang w:val="en-US" w:eastAsia="zh-CN"/>
              </w:rPr>
              <w:t>0.0505</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436D45B0">
            <w:pPr>
              <w:spacing w:line="240" w:lineRule="exact"/>
              <w:jc w:val="center"/>
              <w:rPr>
                <w:rFonts w:hint="default"/>
                <w:sz w:val="18"/>
                <w:szCs w:val="18"/>
                <w:highlight w:val="none"/>
              </w:rPr>
            </w:pPr>
            <w:r>
              <w:rPr>
                <w:rFonts w:hint="default"/>
                <w:sz w:val="18"/>
                <w:szCs w:val="18"/>
                <w:highlight w:val="none"/>
                <w:lang w:val="en-US" w:eastAsia="zh-CN"/>
              </w:rPr>
              <w:t>0.3897</w:t>
            </w:r>
          </w:p>
        </w:tc>
      </w:tr>
      <w:tr w14:paraId="22E7A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D33DBC8">
            <w:pPr>
              <w:spacing w:line="240" w:lineRule="exact"/>
              <w:jc w:val="center"/>
              <w:rPr>
                <w:rFonts w:hint="default"/>
                <w:sz w:val="18"/>
                <w:szCs w:val="18"/>
                <w:highlight w:val="none"/>
              </w:rPr>
            </w:pPr>
            <w:r>
              <w:rPr>
                <w:rFonts w:hint="default"/>
                <w:sz w:val="18"/>
                <w:szCs w:val="18"/>
                <w:highlight w:val="none"/>
                <w:lang w:val="en-US" w:eastAsia="zh-CN"/>
              </w:rPr>
              <w:t>节假日</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7F2F147D">
            <w:pPr>
              <w:spacing w:line="240" w:lineRule="exact"/>
              <w:jc w:val="center"/>
              <w:rPr>
                <w:rFonts w:hint="default"/>
                <w:sz w:val="18"/>
                <w:szCs w:val="18"/>
                <w:highlight w:val="none"/>
              </w:rPr>
            </w:pPr>
            <w:r>
              <w:rPr>
                <w:rFonts w:hint="default"/>
                <w:sz w:val="18"/>
                <w:szCs w:val="18"/>
                <w:highlight w:val="none"/>
                <w:lang w:val="en-US" w:eastAsia="zh-CN"/>
              </w:rPr>
              <w:t>0.3847</w:t>
            </w:r>
          </w:p>
        </w:tc>
        <w:tc>
          <w:tcPr>
            <w:tcW w:w="134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54894962">
            <w:pPr>
              <w:spacing w:line="240" w:lineRule="exact"/>
              <w:jc w:val="center"/>
              <w:rPr>
                <w:rFonts w:hint="default"/>
                <w:sz w:val="18"/>
                <w:szCs w:val="18"/>
                <w:highlight w:val="none"/>
              </w:rPr>
            </w:pPr>
            <w:r>
              <w:rPr>
                <w:rFonts w:hint="default"/>
                <w:sz w:val="18"/>
                <w:szCs w:val="18"/>
                <w:highlight w:val="none"/>
                <w:lang w:val="en-US" w:eastAsia="zh-CN"/>
              </w:rPr>
              <w:t>0.1755</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4DA49A5">
            <w:pPr>
              <w:spacing w:line="240" w:lineRule="exact"/>
              <w:jc w:val="center"/>
              <w:rPr>
                <w:rFonts w:hint="default"/>
                <w:sz w:val="18"/>
                <w:szCs w:val="18"/>
                <w:highlight w:val="none"/>
              </w:rPr>
            </w:pPr>
            <w:r>
              <w:rPr>
                <w:rFonts w:hint="default"/>
                <w:b/>
                <w:bCs/>
                <w:sz w:val="18"/>
                <w:szCs w:val="18"/>
                <w:highlight w:val="none"/>
                <w:lang w:val="en-US" w:eastAsia="zh-CN"/>
              </w:rPr>
              <w:t>0.4398</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b w:val="0"/>
          <w:i w:val="0"/>
          <w:sz w:val="21"/>
          <w:highlight w:val="none"/>
        </w:rPr>
        <w:t>由表3可知，工作日长期专家权重为0.6237，高于统计特征专家的0.2910，表明常规模型推理主要依赖趋势性成分；节假日统计特征专家权重升至0.4398，长期专家权重降至0.3847，路由结构发生逆转。周末样本量有限，但统计特征专家均值（0.3897）亦高于工作日，变化方向与节假日一致。</w:t>
      </w:r>
    </w:p>
    <w:p w14:paraId="1481DD99">
      <w:pPr>
        <w:spacing w:after="120" w:line="360" w:lineRule="auto"/>
        <w:ind w:firstLine="420"/>
        <w:jc w:val="both"/>
        <w:rPr>
          <w:highlight w:val="none"/>
        </w:rPr>
      </w:pPr>
      <w:r>
        <w:rPr>
          <w:rFonts w:ascii="Times New Roman" w:hAnsi="Times New Roman" w:eastAsia="宋体"/>
          <w:b w:val="0"/>
          <w:i w:val="0"/>
          <w:sz w:val="21"/>
          <w:highlight w:val="none"/>
        </w:rPr>
        <w:t>在表3所揭示的均值差异基础上，表4进一步给出节假日与工作日子集的假设检验结果。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b/>
          <w:i w:val="0"/>
          <w:sz w:val="21"/>
          <w:highlight w:val="none"/>
        </w:rPr>
        <w:t>表4   节假日 vs 工作日统计特征专家门控权重t检验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27E86AE">
            <w:pPr>
              <w:keepNext/>
              <w:snapToGrid w:val="0"/>
              <w:spacing w:line="240" w:lineRule="auto"/>
              <w:ind w:left="0" w:leftChars="0" w:right="0" w:rightChars="0" w:firstLine="0" w:firstLineChars="0"/>
              <w:jc w:val="center"/>
              <w:rPr>
                <w:rFonts w:hint="eastAsia"/>
                <w:b/>
                <w:sz w:val="18"/>
                <w:szCs w:val="18"/>
                <w:highlight w:val="none"/>
                <w:lang w:val="en-US" w:eastAsia="zh-CN"/>
              </w:rPr>
            </w:pPr>
            <w:r>
              <w:rPr>
                <w:rFonts w:hint="default"/>
                <w:b/>
                <w:sz w:val="18"/>
                <w:szCs w:val="18"/>
                <w:highlight w:val="none"/>
                <w:lang w:val="en-US" w:eastAsia="zh-CN"/>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735AE623">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b/>
                <w:sz w:val="18"/>
                <w:szCs w:val="18"/>
                <w:highlight w:val="none"/>
                <w:lang w:val="en-US" w:eastAsia="zh-CN"/>
              </w:rPr>
              <w:t>节假日均值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8588280">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b/>
                <w:sz w:val="18"/>
                <w:szCs w:val="18"/>
                <w:highlight w:val="none"/>
                <w:lang w:val="en-US" w:eastAsia="zh-CN"/>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B4AD54D">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eastAsia"/>
                <w:b/>
                <w:sz w:val="18"/>
                <w:szCs w:val="18"/>
                <w:highlight w:val="none"/>
                <w:lang w:val="en-US" w:eastAsia="zh-CN"/>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B7B5E79">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b/>
                <w:sz w:val="18"/>
                <w:szCs w:val="18"/>
                <w:highlight w:val="none"/>
                <w:lang w:val="en-US" w:eastAsia="zh-CN"/>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48A5D0A">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sz w:val="18"/>
                <w:szCs w:val="18"/>
                <w:highlight w:val="none"/>
                <w:lang w:val="en-US" w:eastAsia="zh-CN"/>
              </w:rPr>
              <w:t>统计特征专家权重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32EC01E0">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sz w:val="18"/>
                <w:szCs w:val="18"/>
                <w:highlight w:val="none"/>
                <w:lang w:val="en-US" w:eastAsia="zh-CN"/>
              </w:rPr>
              <w:t>0.4398</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4517D816">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sz w:val="18"/>
                <w:szCs w:val="18"/>
                <w:highlight w:val="none"/>
                <w:lang w:val="en-US" w:eastAsia="zh-CN"/>
              </w:rPr>
              <w:t>0.2910</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7A9C02B">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sz w:val="18"/>
                <w:szCs w:val="18"/>
                <w:highlight w:val="none"/>
                <w:lang w:val="en-US" w:eastAsia="zh-CN"/>
              </w:rPr>
              <w:t>2.771</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197E75C1">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sz w:val="18"/>
                <w:szCs w:val="18"/>
                <w:highlight w:val="none"/>
                <w:lang w:val="en-US" w:eastAsia="zh-CN"/>
              </w:rPr>
              <w:t>0.0065</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b w:val="0"/>
          <w:i w:val="0"/>
          <w:sz w:val="21"/>
          <w:highlight w:val="none"/>
        </w:rPr>
        <w:t>表4显示，节假日统计特征专家权重均值（0.4398）显著高于工作日（0.2910），t=2.771，p=0.0065&lt;0.01，在α=0.01水平下拒绝两总体均值无差异的原假设。该结果表明，统计特征专家在节假日场景下的权重抬升具有统计显著性。</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4"/>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b w:val="0"/>
          <w:i w:val="0"/>
          <w:sz w:val="21"/>
          <w:highlight w:val="none"/>
        </w:rPr>
        <w:t>均值统计难以反映权重的离散程度与极端样本行为。图3以箱线图展示三类场景下各专家门控权重的完整分布，以补充表3的聚合描述。</w:t>
      </w:r>
    </w:p>
    <w:p w14:paraId="509101F8">
      <w:pPr>
        <w:jc w:val="center"/>
        <w:rPr>
          <w:highlight w:val="none"/>
        </w:rPr>
      </w:pPr>
      <w:r>
        <w:rPr>
          <w:highlight w:val="none"/>
        </w:rPr>
        <w:drawing>
          <wp:inline distT="0" distB="0" distL="114300" distR="114300">
            <wp:extent cx="5039995" cy="17964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9"/>
                    <a:srcRect t="8476"/>
                    <a:stretch>
                      <a:fillRect/>
                    </a:stretch>
                  </pic:blipFill>
                  <pic:spPr>
                    <a:xfrm>
                      <a:off x="0" y="0"/>
                      <a:ext cx="5040000" cy="1796415"/>
                    </a:xfrm>
                    <a:prstGeom prst="rect">
                      <a:avLst/>
                    </a:prstGeom>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b w:val="0"/>
          <w:i w:val="0"/>
          <w:sz w:val="21"/>
          <w:highlight w:val="none"/>
        </w:rPr>
        <w:t>由图3可见，节假日样本中统计特征专家权重的中位数与上四分位均高于工作日，且分布跨度更大；长期专家权重在节假日整体下移，与工作日的集中高权重形成对照。该分布级证据与表3一致，表明门控路由的场景调整具有群体一致性。</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4"/>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b/>
          <w:i w:val="0"/>
          <w:sz w:val="21"/>
          <w:highlight w:val="none"/>
        </w:rPr>
        <w:t>图4  STL分解与专家门控权重对照分析</w:t>
      </w:r>
    </w:p>
    <w:p>
      <w:r>
        <w:t>图6  RAMR不同场景下专家门控权重箱线图</w:t>
      </w:r>
    </w:p>
    <w:p>
      <w: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t>图7  分解分量与专家门控权重对照图</w:t>
      </w:r>
    </w:p>
    <w:p>
      <w: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t>图8  波动率与短期专家权重关系图</w:t>
      </w:r>
    </w:p>
    <w:p>
      <w: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t>图4表明，专家权重随测试时段存在动态变化，分布偏移专家在部分非常规区段权重抬升，长期专家在相对平稳区段占据较高权重。补充的波动率-短期专家权重分析在北京南_from_nj上得到Pearson r=0.036、p=0.601，未呈现显著线性相关。因此，本文将短期专家解释为可被局部迁移调用的功能专家，而不将其平均权重或单站线性相关作为唯一证据。</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b w:val="0"/>
          <w:i w:val="0"/>
          <w:sz w:val="21"/>
          <w:highlight w:val="none"/>
        </w:rPr>
        <w:t>综上，节假日窗口统计特征专家权重的系统性升高，与残差项</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ascii="Times New Roman" w:hAnsi="Times New Roman" w:eastAsia="宋体"/>
          <w:b w:val="0"/>
          <w:i w:val="0"/>
          <w:sz w:val="21"/>
          <w:highlight w:val="none"/>
        </w:rPr>
        <w:t>吸收事件扰动、并由统计特征专家专门建模非典型波动的机制相一致，从假设检验、分布可视化与时序对齐三个维度支持了分解引导的专家分工设计。</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2.8  泛化性实验</w:t>
      </w:r>
    </w:p>
    <w:p w14:paraId="15442286">
      <w:pPr>
        <w:overflowPunct w:val="0"/>
        <w:autoSpaceDE w:val="0"/>
        <w:spacing w:line="360" w:lineRule="auto"/>
        <w:ind w:firstLine="420"/>
        <w:rPr>
          <w:szCs w:val="21"/>
          <w:highlight w:val="none"/>
        </w:rPr>
      </w:pPr>
      <w:r>
        <w:t>为评估结构鲁棒性，Traffic公开数据集实验应采用domain adaptation framing。本文不主张铁路日粒度模型可直接跨分辨率迁移到小时级道路交通，而是考察专家分解结构在不同时间粒度下是否保持可训练性与稳定性。后续补充实验将增加Traffic降采样到日粒度的resolution ablation，并按预测窗口比例而非绝对horizon进行window alignment。</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表5汇总四个预测步长下各方法测试结果的平均值，用以评估MoE-Rail的跨域泛化性能。</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21"/>
                <w:highlight w:val="none"/>
              </w:rPr>
              <w:t>方法</w:t>
            </w:r>
          </w:p>
        </w:tc>
        <w:tc>
          <w:tcPr>
            <w:tcW w:w="3137" w:type="dxa"/>
          </w:tcPr>
          <w:p w14:paraId="1B083FA3">
            <w:pPr>
              <w:jc w:val="center"/>
              <w:rPr>
                <w:highlight w:val="none"/>
              </w:rPr>
            </w:pPr>
            <w:r>
              <w:rPr>
                <w:rFonts w:ascii="Times New Roman" w:hAnsi="Times New Roman" w:eastAsia="宋体"/>
                <w:b/>
                <w:i w:val="0"/>
                <w:sz w:val="21"/>
                <w:highlight w:val="none"/>
              </w:rPr>
              <w:t>MSE</w:t>
            </w:r>
          </w:p>
        </w:tc>
        <w:tc>
          <w:tcPr>
            <w:tcW w:w="3137" w:type="dxa"/>
          </w:tcPr>
          <w:p w14:paraId="27C25351">
            <w:pPr>
              <w:jc w:val="center"/>
              <w:rPr>
                <w:highlight w:val="none"/>
              </w:rPr>
            </w:pPr>
            <w:r>
              <w:rPr>
                <w:rFonts w:ascii="Times New Roman" w:hAnsi="Times New Roman" w:eastAsia="宋体"/>
                <w:b/>
                <w:i w:val="0"/>
                <w:sz w:val="21"/>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21"/>
                <w:highlight w:val="none"/>
              </w:rPr>
              <w:t>PatchTST</w:t>
            </w:r>
          </w:p>
        </w:tc>
        <w:tc>
          <w:tcPr>
            <w:tcW w:w="3137" w:type="dxa"/>
          </w:tcPr>
          <w:p w14:paraId="46E3C171">
            <w:pPr>
              <w:jc w:val="center"/>
              <w:rPr>
                <w:highlight w:val="none"/>
              </w:rPr>
            </w:pPr>
            <w:r>
              <w:rPr>
                <w:rFonts w:ascii="Times New Roman" w:hAnsi="Times New Roman" w:eastAsia="宋体"/>
                <w:b w:val="0"/>
                <w:i w:val="0"/>
                <w:sz w:val="21"/>
                <w:highlight w:val="none"/>
              </w:rPr>
              <w:t>0.531</w:t>
            </w:r>
          </w:p>
        </w:tc>
        <w:tc>
          <w:tcPr>
            <w:tcW w:w="3137" w:type="dxa"/>
          </w:tcPr>
          <w:p w14:paraId="6E729961">
            <w:pPr>
              <w:jc w:val="center"/>
              <w:rPr>
                <w:highlight w:val="none"/>
              </w:rPr>
            </w:pPr>
            <w:r>
              <w:rPr>
                <w:rFonts w:ascii="Times New Roman" w:hAnsi="Times New Roman" w:eastAsia="宋体"/>
                <w:b w:val="0"/>
                <w:i w:val="0"/>
                <w:sz w:val="21"/>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21"/>
                <w:highlight w:val="none"/>
              </w:rPr>
              <w:t>TimeMixer</w:t>
            </w:r>
          </w:p>
        </w:tc>
        <w:tc>
          <w:tcPr>
            <w:tcW w:w="3137" w:type="dxa"/>
          </w:tcPr>
          <w:p w14:paraId="7BD049B9">
            <w:pPr>
              <w:jc w:val="center"/>
              <w:rPr>
                <w:highlight w:val="none"/>
              </w:rPr>
            </w:pPr>
            <w:r>
              <w:rPr>
                <w:rFonts w:ascii="Times New Roman" w:hAnsi="Times New Roman" w:eastAsia="宋体"/>
                <w:b w:val="0"/>
                <w:i w:val="0"/>
                <w:sz w:val="21"/>
                <w:highlight w:val="none"/>
              </w:rPr>
              <w:t>0.484</w:t>
            </w:r>
          </w:p>
        </w:tc>
        <w:tc>
          <w:tcPr>
            <w:tcW w:w="3137" w:type="dxa"/>
          </w:tcPr>
          <w:p w14:paraId="022082B4">
            <w:pPr>
              <w:jc w:val="center"/>
              <w:rPr>
                <w:highlight w:val="none"/>
              </w:rPr>
            </w:pPr>
            <w:r>
              <w:rPr>
                <w:rFonts w:ascii="Times New Roman" w:hAnsi="Times New Roman" w:eastAsia="宋体"/>
                <w:b w:val="0"/>
                <w:i w:val="0"/>
                <w:sz w:val="21"/>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21"/>
                <w:highlight w:val="none"/>
              </w:rPr>
              <w:t>iTransformer</w:t>
            </w:r>
          </w:p>
        </w:tc>
        <w:tc>
          <w:tcPr>
            <w:tcW w:w="3137" w:type="dxa"/>
          </w:tcPr>
          <w:p w14:paraId="21538CE5">
            <w:pPr>
              <w:jc w:val="center"/>
              <w:rPr>
                <w:highlight w:val="none"/>
              </w:rPr>
            </w:pPr>
            <w:r>
              <w:rPr>
                <w:rFonts w:ascii="Times New Roman" w:hAnsi="Times New Roman" w:eastAsia="宋体"/>
                <w:b w:val="0"/>
                <w:i w:val="0"/>
                <w:sz w:val="21"/>
                <w:highlight w:val="none"/>
              </w:rPr>
              <w:t>0.428</w:t>
            </w:r>
          </w:p>
        </w:tc>
        <w:tc>
          <w:tcPr>
            <w:tcW w:w="3137" w:type="dxa"/>
          </w:tcPr>
          <w:p w14:paraId="45328038">
            <w:pPr>
              <w:jc w:val="center"/>
              <w:rPr>
                <w:highlight w:val="none"/>
              </w:rPr>
            </w:pPr>
            <w:r>
              <w:rPr>
                <w:rFonts w:ascii="Times New Roman" w:hAnsi="Times New Roman" w:eastAsia="宋体"/>
                <w:b w:val="0"/>
                <w:i w:val="0"/>
                <w:sz w:val="21"/>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21"/>
                <w:highlight w:val="none"/>
              </w:rPr>
              <w:t>FreEformer</w:t>
            </w:r>
          </w:p>
        </w:tc>
        <w:tc>
          <w:tcPr>
            <w:tcW w:w="3137" w:type="dxa"/>
          </w:tcPr>
          <w:p w14:paraId="6AD03D2E">
            <w:pPr>
              <w:jc w:val="center"/>
              <w:rPr>
                <w:highlight w:val="none"/>
              </w:rPr>
            </w:pPr>
            <w:r>
              <w:rPr>
                <w:rFonts w:ascii="Times New Roman" w:hAnsi="Times New Roman" w:eastAsia="宋体"/>
                <w:b w:val="0"/>
                <w:i w:val="0"/>
                <w:sz w:val="21"/>
                <w:highlight w:val="none"/>
              </w:rPr>
              <w:t>0.433</w:t>
            </w:r>
          </w:p>
        </w:tc>
        <w:tc>
          <w:tcPr>
            <w:tcW w:w="3137" w:type="dxa"/>
          </w:tcPr>
          <w:p w14:paraId="687916DE">
            <w:pPr>
              <w:jc w:val="center"/>
              <w:rPr>
                <w:highlight w:val="none"/>
              </w:rPr>
            </w:pPr>
            <w:r>
              <w:rPr>
                <w:rFonts w:ascii="Times New Roman" w:hAnsi="Times New Roman" w:eastAsia="宋体"/>
                <w:b w:val="0"/>
                <w:i w:val="0"/>
                <w:sz w:val="21"/>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21"/>
                <w:highlight w:val="none"/>
              </w:rPr>
              <w:t>MoE-Rail</w:t>
            </w:r>
          </w:p>
        </w:tc>
        <w:tc>
          <w:tcPr>
            <w:tcW w:w="3137" w:type="dxa"/>
          </w:tcPr>
          <w:p w14:paraId="2116B9E4">
            <w:pPr>
              <w:jc w:val="center"/>
              <w:rPr>
                <w:highlight w:val="none"/>
              </w:rPr>
            </w:pPr>
            <w:r>
              <w:rPr>
                <w:rFonts w:ascii="Times New Roman" w:hAnsi="Times New Roman" w:eastAsia="宋体"/>
                <w:b w:val="0"/>
                <w:i w:val="0"/>
                <w:sz w:val="21"/>
                <w:highlight w:val="none"/>
              </w:rPr>
              <w:t>0.293</w:t>
            </w:r>
          </w:p>
        </w:tc>
        <w:tc>
          <w:tcPr>
            <w:tcW w:w="3137" w:type="dxa"/>
          </w:tcPr>
          <w:p w14:paraId="5CC31D90">
            <w:pPr>
              <w:jc w:val="center"/>
              <w:rPr>
                <w:highlight w:val="none"/>
              </w:rPr>
            </w:pPr>
            <w:r>
              <w:rPr>
                <w:rFonts w:ascii="Times New Roman" w:hAnsi="Times New Roman" w:eastAsia="宋体"/>
                <w:b w:val="0"/>
                <w:i w:val="0"/>
                <w:sz w:val="21"/>
                <w:highlight w:val="none"/>
              </w:rPr>
              <w:t>0.354</w:t>
            </w:r>
          </w:p>
        </w:tc>
      </w:tr>
    </w:tbl>
    <w:p w14:paraId="0E15C332">
      <w:pPr>
        <w:spacing w:before="0" w:after="0" w:line="360" w:lineRule="auto"/>
        <w:ind w:firstLine="420"/>
        <w:jc w:val="both"/>
        <w:rPr>
          <w:highlight w:val="none"/>
        </w:rPr>
      </w:pPr>
      <w: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b w:val="0"/>
          <w:i w:val="0"/>
          <w:sz w:val="21"/>
          <w:highlight w:val="none"/>
        </w:rPr>
        <w:t>图5进一步展示了各方法在Traffic数据集上的MSE/MAE对比，MoE-Rail在MSE维度保持明显优势，表明框架在非铁路场景仍</w:t>
      </w:r>
      <w:r>
        <w:rPr>
          <w:rFonts w:hint="eastAsia"/>
          <w:b w:val="0"/>
          <w:i w:val="0"/>
          <w:sz w:val="21"/>
          <w:highlight w:val="none"/>
          <w:lang w:eastAsia="zh-CN"/>
        </w:rPr>
        <w:t>具有</w:t>
      </w:r>
      <w:r>
        <w:rPr>
          <w:rFonts w:ascii="Times New Roman" w:hAnsi="Times New Roman" w:eastAsia="宋体"/>
          <w:b w:val="0"/>
          <w:i w:val="0"/>
          <w:sz w:val="21"/>
          <w:highlight w:val="none"/>
        </w:rPr>
        <w:t>适用性。</w:t>
      </w:r>
    </w:p>
    <w:p w14:paraId="7FACBC8D">
      <w:pPr>
        <w:keepNext/>
        <w:spacing w:before="120" w:beforeLines="50" w:line="312" w:lineRule="auto"/>
        <w:jc w:val="center"/>
        <w:rPr>
          <w:highlight w:val="none"/>
        </w:rPr>
      </w:pPr>
      <w:bookmarkStart w:id="0" w:name="OLE_LINK2"/>
      <w:r>
        <w:rPr>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b/>
          <w:i w:val="0"/>
          <w:sz w:val="30"/>
          <w:szCs w:val="30"/>
          <w:highlight w:val="none"/>
          <w:lang w:val="en-US" w:eastAsia="zh-CN"/>
        </w:rPr>
        <w:t xml:space="preserve"> </w:t>
      </w:r>
      <w:r>
        <w:rPr>
          <w:rFonts w:hint="eastAsia" w:ascii="Times New Roman" w:hAnsi="Times New Roman" w:eastAsia="宋体"/>
          <w:b/>
          <w:i w:val="0"/>
          <w:sz w:val="30"/>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t>针对铁路客流序列在不同场景下呈现出的短期波动、长期周期性和异常扰动等复杂特征，本文提出场景条件化非平稳分解-路由机制MoE-Rail/RAMR。该方法将趋势、周期和扰动结构映射到短期、长期和分布偏移专家空间，并通过日历场景与regime embedding实现自适应路由。真实数据实验与补充消融表明，场景条件和regime条件均能降低测试误差；同时，统计特征增强的收益受样本规模和特征复杂度影响，需要结合消融结果谨慎解释。未来工作将进一步接入天气、活动日历和列车开行调整等可预报外生变量，并补充PatchTST、iTransformer、TimeMixer、DLinear和FreEformer等强基线对比。</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4"/>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b w:val="0"/>
          <w:i w:val="0"/>
          <w:sz w:val="21"/>
          <w:szCs w:val="18"/>
          <w:highlight w:val="none"/>
        </w:rPr>
        <w:t xml:space="preserve">[22] ZOU Y, CHEN Y, XU Y, et al. Short-term Freeway Traffic Speed Multistep Prediction Using an </w:t>
      </w:r>
      <w:r>
        <w:rPr>
          <w:rFonts w:hint="eastAsia" w:ascii="Times New Roman" w:hAnsi="Times New Roman" w:eastAsia="宋体"/>
          <w:b w:val="0"/>
          <w:i w:val="0"/>
          <w:sz w:val="21"/>
          <w:szCs w:val="18"/>
          <w:highlight w:val="none"/>
        </w:rPr>
        <w:t>iT</w:t>
      </w:r>
      <w:r>
        <w:rPr>
          <w:rFonts w:ascii="Times New Roman" w:hAnsi="Times New Roman" w:eastAsia="宋体"/>
          <w:b w:val="0"/>
          <w:i w:val="0"/>
          <w:sz w:val="21"/>
          <w:szCs w:val="18"/>
          <w:highlight w:val="none"/>
        </w:rPr>
        <w: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021" w:bottom="776" w:left="1474"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sectPr>
      <w:type w:val="continuous"/>
      <w:pgSz w:w="11906" w:h="16838"/>
      <w:pgMar w:top="1985" w:right="1021" w:bottom="776" w:left="1474"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