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宋体"/>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r>
        <w:rPr>
          <w:rFonts w:ascii="Times New Roman" w:hAnsi="Times New Roman" w:eastAsia="宋体"/>
          <w:sz w:val="21"/>
        </w:rPr>
        <w:t>严格无泄露最终结果：Strict RAMR-VE采用验证集balanced objective选择集成权重和全局尺度，测试集只在方案固定后评估一次；最终MAPE=18.55%、MSE=0.035640、MAE=0.138028，相比原MoE-Rail的19.41%、0.037700、0.144000三项指标均改善。</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r>
        <w:tc>
          <w:tcPr>
            <w:tcW w:type="dxa" w:w="2130"/>
          </w:tcPr>
          <w:p>
            <w:r>
              <w:rPr>
                <w:rFonts w:ascii="Times New Roman" w:hAnsi="Times New Roman" w:eastAsia="宋体"/>
                <w:sz w:val="21"/>
              </w:rPr>
              <w:t>Strict RAMR-VE</w:t>
            </w:r>
          </w:p>
        </w:tc>
        <w:tc>
          <w:tcPr>
            <w:tcW w:type="dxa" w:w="2130"/>
          </w:tcPr>
          <w:p>
            <w:r>
              <w:rPr>
                <w:rFonts w:ascii="Times New Roman" w:hAnsi="Times New Roman" w:eastAsia="宋体"/>
                <w:sz w:val="21"/>
              </w:rPr>
              <w:t>0.1380</w:t>
            </w:r>
          </w:p>
        </w:tc>
        <w:tc>
          <w:tcPr>
            <w:tcW w:type="dxa" w:w="2131"/>
          </w:tcPr>
          <w:p>
            <w:r>
              <w:rPr>
                <w:rFonts w:ascii="Times New Roman" w:hAnsi="Times New Roman" w:eastAsia="宋体"/>
                <w:sz w:val="21"/>
              </w:rPr>
              <w:t>0.035640</w:t>
            </w:r>
          </w:p>
        </w:tc>
        <w:tc>
          <w:tcPr>
            <w:tcW w:type="dxa" w:w="2131"/>
          </w:tcPr>
          <w:p>
            <w:r>
              <w:rPr>
                <w:rFonts w:ascii="Times New Roman" w:hAnsi="Times New Roman" w:eastAsia="宋体"/>
                <w:sz w:val="21"/>
              </w:rPr>
              <w:t>18.55%</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宋体"/>
          <w:sz w:val="21"/>
        </w:rPr>
        <w:t>由图2可见，MoE-Rail/RAMR在峰值与低谷时段均更贴近真实客流，尤其在节假日等强波动区间跟踪误差更小；严格无泄露验证集集成后，表1中Strict RAMR-VE的MAPE进一步降至18.55%。</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r>
        <w:tc>
          <w:tcPr>
            <w:tcW w:type="dxa" w:w="1504"/>
          </w:tcPr>
          <w:p>
            <w:r>
              <w:rPr>
                <w:rFonts w:ascii="Times New Roman" w:hAnsi="Times New Roman" w:eastAsia="宋体"/>
                <w:sz w:val="21"/>
              </w:rPr>
              <w:t>Strict RAMR-VE</w:t>
            </w:r>
          </w:p>
        </w:tc>
        <w:tc>
          <w:tcPr>
            <w:tcW w:type="dxa" w:w="1504"/>
          </w:tcPr>
          <w:p>
            <w:r>
              <w:rPr>
                <w:rFonts w:ascii="Times New Roman" w:hAnsi="Times New Roman" w:eastAsia="宋体"/>
                <w:sz w:val="21"/>
              </w:rPr>
              <w:t>验证集集成</w:t>
            </w:r>
          </w:p>
        </w:tc>
        <w:tc>
          <w:tcPr>
            <w:tcW w:type="dxa" w:w="1504"/>
          </w:tcPr>
          <w:p>
            <w:r>
              <w:rPr>
                <w:rFonts w:ascii="Times New Roman" w:hAnsi="Times New Roman" w:eastAsia="宋体"/>
                <w:sz w:val="21"/>
              </w:rPr>
              <w:t>31.26</w:t>
            </w:r>
          </w:p>
        </w:tc>
        <w:tc>
          <w:tcPr>
            <w:tcW w:type="dxa" w:w="1504"/>
          </w:tcPr>
          <w:p>
            <w:r>
              <w:rPr>
                <w:rFonts w:ascii="Times New Roman" w:hAnsi="Times New Roman" w:eastAsia="宋体"/>
                <w:sz w:val="21"/>
              </w:rPr>
              <w:t>18.55</w:t>
            </w:r>
          </w:p>
        </w:tc>
        <w:tc>
          <w:tcPr>
            <w:tcW w:type="dxa" w:w="1504"/>
          </w:tcPr>
          <w:p>
            <w:r>
              <w:rPr>
                <w:rFonts w:ascii="Times New Roman" w:hAnsi="Times New Roman" w:eastAsia="宋体"/>
                <w:sz w:val="21"/>
              </w:rPr>
              <w:t>0.035640</w:t>
            </w:r>
          </w:p>
        </w:tc>
        <w:tc>
          <w:tcPr>
            <w:tcW w:type="dxa" w:w="1504"/>
          </w:tcPr>
          <w:p>
            <w:r>
              <w:rPr>
                <w:rFonts w:ascii="Times New Roman" w:hAnsi="Times New Roman" w:eastAsia="宋体"/>
                <w:sz w:val="21"/>
              </w:rPr>
              <w:t>0.138028</w:t>
            </w:r>
          </w:p>
        </w:tc>
      </w:tr>
    </w:tbl>
    <w:p>
      <w:r>
        <w:rPr>
          <w:rFonts w:ascii="Times New Roman" w:hAnsi="Times New Roman" w:eastAsia="宋体"/>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21"/>
              </w:rPr>
              <w:t>分布偏移basic（mean/std/max）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21"/>
              </w:rPr>
              <w:t>分布偏移quantile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r>
              <w:rPr>
                <w:rFonts w:ascii="Times New Roman" w:hAnsi="Times New Roman" w:eastAsia="宋体"/>
                <w:sz w:val="21"/>
              </w:rPr>
              <w:t>原论文结果</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r>
        <w:tc>
          <w:tcPr>
            <w:tcW w:type="dxa" w:w="1805"/>
          </w:tcPr>
          <w:p>
            <w:r>
              <w:rPr>
                <w:rFonts w:ascii="Times New Roman" w:hAnsi="Times New Roman" w:eastAsia="宋体"/>
                <w:sz w:val="21"/>
              </w:rPr>
              <w:t>Strict RAMR-VE</w:t>
            </w:r>
          </w:p>
        </w:tc>
        <w:tc>
          <w:tcPr>
            <w:tcW w:type="dxa" w:w="1805"/>
          </w:tcPr>
          <w:p>
            <w:r>
              <w:rPr>
                <w:rFonts w:ascii="Times New Roman" w:hAnsi="Times New Roman" w:eastAsia="宋体"/>
                <w:sz w:val="21"/>
              </w:rPr>
              <w:t>18.55</w:t>
            </w:r>
          </w:p>
        </w:tc>
        <w:tc>
          <w:tcPr>
            <w:tcW w:type="dxa" w:w="1805"/>
          </w:tcPr>
          <w:p>
            <w:r>
              <w:rPr>
                <w:rFonts w:ascii="Times New Roman" w:hAnsi="Times New Roman" w:eastAsia="宋体"/>
                <w:sz w:val="21"/>
              </w:rPr>
              <w:t>0.035640</w:t>
            </w:r>
          </w:p>
        </w:tc>
        <w:tc>
          <w:tcPr>
            <w:tcW w:type="dxa" w:w="1805"/>
          </w:tcPr>
          <w:p>
            <w:r>
              <w:rPr>
                <w:rFonts w:ascii="Times New Roman" w:hAnsi="Times New Roman" w:eastAsia="宋体"/>
                <w:sz w:val="21"/>
              </w:rPr>
              <w:t>0.138028</w:t>
            </w:r>
          </w:p>
        </w:tc>
        <w:tc>
          <w:tcPr>
            <w:tcW w:type="dxa" w:w="1805"/>
          </w:tcPr>
          <w:p>
            <w:r>
              <w:rPr>
                <w:rFonts w:ascii="Times New Roman" w:hAnsi="Times New Roman" w:eastAsia="宋体"/>
                <w:sz w:val="21"/>
              </w:rPr>
              <w:t>验证集选权重与尺度，测试集最终一次评估</w:t>
            </w:r>
          </w:p>
        </w:tc>
      </w:tr>
    </w:tbl>
    <w:p>
      <w:r>
        <w:rPr>
          <w:rFonts w:ascii="Times New Roman" w:hAnsi="Times New Roman" w:eastAsia="宋体"/>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宋体"/>
                <w:sz w:val="21"/>
              </w:rPr>
              <w:t>MoE-Rail (w/o Shift)</w:t>
            </w:r>
          </w:p>
        </w:tc>
        <w:tc>
          <w:tcPr>
            <w:tcW w:w="1003" w:type="pct"/>
            <w:tcBorders>
              <w:top w:val="nil"/>
              <w:left w:val="nil"/>
              <w:bottom w:val="nil"/>
              <w:right w:val="nil"/>
            </w:tcBorders>
            <w:vAlign w:val="center"/>
          </w:tcPr>
          <w:p>
            <w:r>
              <w:rPr>
                <w:rFonts w:ascii="Times New Roman" w:hAnsi="Times New Roman" w:eastAsia="宋体"/>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宋体"/>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宋体"/>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rPr>
          <w:rFonts w:ascii="Times New Roman" w:hAnsi="Times New Roman" w:eastAsia="宋体"/>
          <w:sz w:val="21"/>
        </w:rPr>
        <w:t>图6  RAMR不同场景下专家门控权重箱线图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图7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图8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门控权重统计、箱线图和时序对照共同说明模型存在“场景条件—专家路由”的可解释响应。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