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r>
        <w:rPr>
          <w:rFonts w:ascii="Times New Roman" w:hAnsi="Times New Roman" w:eastAsia="STSong"/>
        </w:rPr>
        <w:t>Regime对齐补充：进一步新增历史窗口regime-gating对齐审计。日总波动率最高25%的样本中短期专家权重均值为0.6714，高于其余样本0.4256（p=2.58e-06）；峰均比最高25%的样本中分布偏移专家权重均值为0.5909，高于其余样本0.3303（p=1.83e-05）。该结果说明门控并非简单平均融合，而是将高频相邻日变化和峰值突发强度分配给不同专家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eastAsia="STSong"/>
        </w:rPr>
        <w:t>无泄露协议审计： 新增可执行协议审计，重建 423/211/212 天时间顺序划分，验证 RobustScaler 参数与仅训练集拟合结果一致且不等于全量拟合结果，并逐样本检查输入窗口均早于预测目标；固定测试预测文件 212 行与测试集样本数一致。证据见 docs/experiments/无泄露实验协议审计_20260701.md。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r>
        <w:rPr>
          <w:rFonts w:ascii="Times New Roman" w:hAnsi="Times New Roman" w:eastAsia="STSong"/>
        </w:rPr>
        <w:t>全指标支配审计：为进一步回应“MAE 是否仍为弱项”的问题，新增现代强基线全指标支配审计。Strict RAMR-VE在DLinear、PatchTST、iTransformer、TimeMixer、FreEformer五个现代基线与MAPE/MSE/MAE三个指标构成的15个点估计比较单元中全部更低，支配率为15/15；以Strict RAMR-VE日期级95% CI上界与各基线点估计比较，严格低于基线的单元为10/15。该结果证明当前协议下MAE点估计已同步优于现代强基线，但仍不写作逐样本配对显著性检验。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eastAsia="STSong"/>
        </w:rPr>
        <w:t>3. 主数据集最终结果为 MAPE=18.5463%、MSE=0.035640、MAE=0.138028，三项指标均优于原 MoE-Rail 与新增现代强基线；现代强基线全指标支配审计显示 15/15 个点估计比较单元均更优。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