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r>
        <w:rPr>
          <w:rFonts w:ascii="Times New Roman" w:hAnsi="Times New Roman" w:eastAsia="STSong"/>
        </w:rPr>
        <w:t>Regime对齐补充：进一步新增历史窗口regime-gating对齐审计。日总波动率最高25%的样本中短期专家权重均值为0.6714，高于其余样本0.4256（p=2.58e-06）；峰均比最高25%的样本中分布偏移专家权重均值为0.5909，高于其余样本0.3303（p=1.83e-05）。该结果说明门控并非简单平均融合，而是将高频相邻日变化和峰值突发强度分配给不同专家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r>
        <w:rPr>
          <w:rFonts w:ascii="Times New Roman" w:hAnsi="Times New Roman" w:eastAsia="STSong"/>
        </w:rPr>
        <w:t>流量分层剖面：进一步按单点客流规模和日期总需求进行事后误差审计。单点客流不低于3000人次样本的MAPE/MSE/MAE为13.0327%/0.034273/0.129906，低流量样本（小于500人次）为34.5288%/0.245261/0.334380；高需求日为23.9754%/0.054716/0.187630，高于常规需求日的16.1755%/0.021710/0.114732。该结果说明模型在主业务高流量样本上更稳定，同时明确低流量方向和高需求日期仍是后续改进重点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cs="Times New Roman" w:eastAsia="STSong"/>
          <w:b w:val="0"/>
          <w:sz w:val="21"/>
        </w:rPr>
        <w:t>3. 主数据集最终结果为 MAPE=18.5463%、MSE=0.035640、MAE=0.138028，三项指标均优于原 MoE-Rail 与新增现代强基线。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