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STSong"/>
          <w:b w:val="0"/>
          <w:sz w:val="21"/>
        </w:rPr>
        <w:t>审稿意见逐条回复稿</w:t>
      </w:r>
    </w:p>
    <w:p>
      <w:r>
        <w:rPr>
          <w:rFonts w:ascii="Times New Roman" w:hAnsi="Times New Roman" w:cs="Times New Roman" w:eastAsia="STSong"/>
          <w:b w:val="0"/>
          <w:sz w:val="21"/>
        </w:rPr>
        <w:t>本文修订围绕“场景条件化非平稳时序分解-路由机制（Regime-aware Mixture Routing, RAMR）”重新组织方法叙事与实验验证。所有铁路主实验均基于项目内真实数据 `data/from_nj.csv` 与 `data/to_nj.csv`，即南京南站到其他站点、其他站点到南京南站的双向日粒度客流。实验采用严格时间顺序划分，`RobustScaler` 仅在训练集拟合；checkpoint、集成权重与尺度校准均由验证集确定，测试集仅用于最终一次评估。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专家意见1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统计特征能否解释突发事件、极端天气等不确定因素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仅依靠均值、标准差、最大值等统计特征，是否能够分析突发事件、极端天气等不确定因素？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已在论文中明确修正该表述。修订稿不再声称统计特征能够识别突发事件或极端天气的外部成因，而是将原“统计特征专家”重新定义为 **Robust Distribution Shift Expert（分布偏移专家）**。该专家使用回看窗口内的分位数结构、robust z-score、quantile skewness、peak-to-average ratio 和 volatility index 等特征，刻画已经反映在客流序列中的窗口级分布偏移。由于当前数据集不包含连续可对齐的天气、活动、运营管制等外生标签，本文将其定位为“分布扰动代理建模”，而非事件因果识别。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方法部分“分布偏移专家”、特征工程部分、结论边界说明。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固定消融复核显示，`distribution quantile` 单 checkpoint 在当前数据上取得 MAPE=19.0447%、MSE=0.035678、MAE=0.136987，是统计特征集合中最强的单模型结果；robust 特征主要提供分布扰动解释和与其他 checkpoint 的互补性。证据文件见 `docs/experiments/固定消融套件复核_20260701.md`。</w:t>
      </w:r>
    </w:p>
    <w:p>
      <w:pPr/>
      <w:r>
        <w:rPr>
          <w:rFonts w:ascii="Times New Roman" w:hAnsi="Times New Roman" w:eastAsia="STSong"/>
        </w:rPr>
      </w:r>
      <w:r>
        <w:rPr>
          <w:rFonts w:ascii="Times New Roman" w:hAnsi="Times New Roman" w:eastAsia="STSong"/>
          <w:sz w:val="21"/>
        </w:rPr>
        <w:t>压力场景补充：进一步新增高需求/高波动压力场景审计。该审计从真实 CSV 重建测试日期并校验目标数组与固定预测 artifact 一致，不训练、不调参、不重新选模。日总客流最高 25% 的高需求日上，Strict RAMR-VE 的 MAPE/MSE/MAE 为 23.9754%/0.054716/0.187630，三项均优于 DLinear、PatchTST、iTransformer、TimeMixer 和 FreEformer；日际客流绝对变化最高 25% 的日期上，Strict RAMR-VE 的 MAPE 为 24.8108%，排名第一，但 MSE/MAE 最优为 TimeMixer。修订稿据此写作“高需求压力场景优势成立，同时日际突变仍存在边界”，不声称统计特征能识别极端天气或运营管制的因果来源。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数据集介绍需增加表格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建议在 2.1 数据集介绍中增加表格，列出数据集具体内容、表头和部分数据。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 2.1 节新增数据字段说明表和样例数据表。表格说明 `passenger flow`、`time/date`、`weekday`、`holiday`、`weekend/workday adjustment`、`trend/regime statistics` 等字段含义，并给出脱敏样例行，明确数据来自 `from_nj.csv` 与 `to_nj.csv` 的内连接结果。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数据集介绍，Word 表0、表1。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`docs/experiments/数据真实性与实验口径核验_20260630.md` 记录了数据形状、缺失值、重复日期和 SHA256：`from_nj.csv` 为 `c4f8919ce83c4c677d772036ed42fb5e76c99507f3368e2d32f081b556df4ae7`，`to_nj.csv` 为 `d16b3becfc12ed22a576741a505080e9dc279d4ab54d8c8ef597b729efb3c41e`。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缺少特征工程说明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论文构建三种专家框架，但未说明特征工程及特征选取依据。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已新增“multi-view feature decomposition”特征工程说明。修订稿将输入特征分为三类：历史客流窗口、日历场景向量、窗口级分布偏移特征。三类特征分别服务于短期依赖专家、长期依赖专家、分布偏移专家和场景条件化门控网络，特征工程与专家分工保持一致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数据预处理与特征工程、表2 特征工程说明表。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固定消融复核中，移除日历场景门控后测试 MAPE 从 21.6706% 退化至 23.3886%，MSE 从 0.046175 退化至 0.052137，MAE 从 0.156578 退化至 0.171826，说明日历场景特征对路由有效。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短期专家权重低的问题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节中短期专家权重在三种场景中均最低，需解释原因。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已重新核验专家输出顺序并重算门控权重。旧稿存在专家列顺序解释不一致的问题。当前模型实际专家顺序为 `ShortTerm / LongTerm / DistributionShift`。重算后，工作日短期专家权重为 0.5927，并非最低；周末分布偏移专家权重升至 0.5793，说明非工作日需求结构迁移会触发分布偏移建模。当前严格时间顺序测试窗口无节假日样本，因此修订稿不再报告节假日显著性。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日历场景下的门控权重统计，表4、表5、图3。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Welch t 检验显示，周末分布偏移专家权重显著高于工作日（0.5793 vs. 0.3228，t=4.9757，p=2.42e-06）。证据文件见 `docs/experiments/门控机制统计重算_20260701.md`。</w:t>
      </w:r>
    </w:p>
    <w:p>
      <w:r>
        <w:rPr>
          <w:rFonts w:ascii="Times New Roman" w:hAnsi="Times New Roman" w:eastAsia="STSong"/>
          <w:sz w:val="21"/>
        </w:rPr>
        <w:t>Regime对齐补充：进一步新增历史窗口regime-gating对齐审计。日总波动率最高25%的样本中短期专家权重均值为0.6714，高于其余样本0.4256（p=2.58e-06）；峰均比最高25%的样本中分布偏移专家权重均值为0.5909，高于其余样本0.3303（p=1.83e-05）。该结果说明门控并非简单平均融合，而是将高频相邻日变化和峰值突发强度分配给不同专家。</w:t>
      </w:r>
    </w:p>
    <w:p>
      <w:pPr/>
      <w:r>
        <w:rPr>
          <w:rFonts w:ascii="Times New Roman" w:hAnsi="Times New Roman" w:eastAsia="STSong"/>
          <w:sz w:val="21"/>
        </w:rPr>
        <w:t>场景误差补充：进一步新增工作日/周末场景分层现代强基线审计。该审计只读取固定测试预测，工作日/周末标签由真实测试日期生成，不训练、不调参、不重新选模。测试窗口包含152个工作日和60个周末；Strict RAMR-VE在工作日上的MAPE/MSE/MAE为18.1153%/0.038406/0.135967，在周末上为19.6382%/0.029723/0.142826，两类场景三项指标均优于DLinear、PatchTST、iTransformer、TimeMixer和FreEformer。由于测试窗口无节假日样本，修订稿不外推节假日结论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Traffic 跨粒度泛化实验跨度较大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日粒度铁路客流迁移到小时级高速公路流量跨度较大，需要重构时间窗口、周期特征和外部扰动特征。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已重写 2.8 节，将过强跨域结论降级为“跨时间粒度结构鲁棒性初步验证”。修订稿明确说明：Traffic 小时级实验不是直接复用铁路日粒度配置，而是在保持专家分解结构的前提下重构小时级输入窗口、小时/星期周期编码和窗口扰动代理。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2.8 泛化性实验、结论。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边界说明：</w:t>
      </w:r>
      <w:r>
        <w:rPr>
          <w:rFonts w:ascii="Times New Roman" w:hAnsi="Times New Roman" w:cs="Times New Roman" w:eastAsia="STSong"/>
          <w:b w:val="0"/>
          <w:sz w:val="21"/>
        </w:rPr>
        <w:t xml:space="preserve"> 当前工作区没有可直接复现实验的 Traffic 原始数据文件，因此现有 Traffic 数值仅作为既有四步长平均记录和图表常量，不作为当前仓库从原始数据重新训练复现的证据。该边界已写入 `docs/experiments/Traffic跨粒度证据边界_20260701.md`。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6. 摘要尽量不要出现公式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摘要中不宜出现公式。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已删除摘要中的公式化表达，改为文字描述“趋势、周期和残差扰动交织的多尺度非平稳特征”，并用自然语言描述场景条件化非平稳分解-路由机制。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中文摘要、英文摘要。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7. VAR 表现差，建议重跑或更换对比方法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 VAR 表现较差，不能体现对比效果，建议重新预测或更换方法。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已在主对比中弱化 VAR 作为核心基线的作用，并补充 DLinear、PatchTST、iTransformer、TimeMixer、FreEformer 等现代强基线。修订稿解释 VAR 在 20 维客流变量、846 个有效日期和强非平稳节假日/周末扰动条件下需要估计较多参数，误差偏大更多反映模型设定与样本规模不匹配。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预测结果对比分析、现代强基线表。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Strict RAMR-VE 在铁路主数据集上取得 MAPE=18.5463%、MSE=0.035640、MAE=0.138028，三项指标均优于 DLinear、PatchTST、iTransformer、TimeMixer 和 FreEformer。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8. 英文字体不统一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文章英文字体没有统一，需按期刊要求修改格式。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已对 Word 全文段落与表格进行字体统一。当前审计显示 660 个非空 run 均为英文 Times New Roman、中文东亚字体 STSong。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全文。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`docs/experiments/Word格式与表格一致性审计_20260701.md`。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9. 图4第一张图不清晰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图4第一张站点客流序列右侧不清楚，建议单独绘图。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已将图4相关叙事拆分为站点客流序列、STL 分解分量、专家门控权重和波动率-短期专家权重关系，并在 Word 稿中调整图文说明，避免依赖单张拥挤图解释机制。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2.7.3、2.7.4 图3、图4及对应文字。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10. `St`、`Tt`、`Rt` 下标不规范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节的 `St`、`Tt`、`Rt` 未写下标。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已统一为 `Sₜ`、`Tₜ`、`Rₜ` 或 LaTeX 花括号下标形式。Word 审计未发现 `S_t`、`T_t`、`R_t` 等 ASCII 下标写法。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摘要、引言、方法部分、机制分析部分。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专家意见2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创新性不足，像已有模块组合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MoE、GRU、Transformer 均为成熟技术，论文像是已有模块组合应用。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已将论文主贡献从“多专家融合模型”重写为“场景条件化非平稳时序分解-路由机制”。修订稿强调创新点不在于简单叠加 GRU、Transformer 与 MLP，而在于将铁路客流“趋势—周期—扰动”生成机制转化为专家分工先验，并通过日历场景与窗口级 regime encoding 显式条件化专家路由。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摘要、引言贡献、方法总述、模型结构图说明。</w:t>
      </w:r>
    </w:p>
    <w:p>
      <w:r>
        <w:rPr>
          <w:rFonts w:ascii="Times New Roman" w:hAnsi="Times New Roman" w:cs="Times New Roman" w:eastAsia="STSong"/>
          <w:b/>
          <w:sz w:val="21"/>
        </w:rPr>
        <w:t>核心表述：</w:t>
      </w:r>
      <w:r>
        <w:rPr>
          <w:rFonts w:ascii="Times New Roman" w:hAnsi="Times New Roman" w:cs="Times New Roman" w:eastAsia="STSong"/>
          <w:b w:val="0"/>
          <w:sz w:val="21"/>
        </w:rPr>
        <w:t xml:space="preserve"> “We introduce a regime-aware routing mechanism that explicitly aligns latent temporal regimes with expert specialization.”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需与 PatchTST、TimeMixer、iTransformer、FreEformer 等新方法对比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原对比方法较早，需加入更新技术。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已补充 DLinear、PatchTST、iTransformer、TimeMixer、FreEformer 五个现代强基线，并在铁路主数据集上使用相同时间顺序划分重新训练评估。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预测结果对比分析，现代强基线表。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现代强基线中 FreEformer 最强，MAPE=20.1540%、MSE=0.040026、MAE=0.148139；Strict RAMR-VE 为 MAPE=18.5463%、MSE=0.035640、MAE=0.138028，三项均更优。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MSE 好但 MAE 一般，跨域泛化结论不充分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模型未在所有主要指标取得一致优势，不能直接得出过强跨域结论。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 MAE-aware 训练和 Strict RAMR-VE 严格无泄露验证集集成。最终 Strict RAMR-VE 在测试集上取得 MAPE=18.5463%、MSE=0.035640、MAE=0.138028，相比原 MoE-Rail 的 19.41%、0.037700、0.144000 三项指标均改善。论文同时删除过强跨域表述，将 Traffic 结果限定为结构鲁棒性初步验证。</w:t>
      </w:r>
    </w:p>
    <w:p>
      <w:r>
        <w:rPr>
          <w:rFonts w:ascii="Times New Roman" w:hAnsi="Times New Roman" w:eastAsia="STSong"/>
          <w:sz w:val="21"/>
        </w:rPr>
        <w:t>无泄露协议审计： 新增可执行协议审计，重建 423/211/212 天时间顺序划分，验证 RobustScaler 参数与仅训练集拟合结果一致且不等于全量拟合结果，并逐样本检查输入窗口均早于预测目标；固定测试预测文件 212 行与测试集样本数一致。证据见 docs/experiments/无泄露实验协议审计_20260701.md。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主结果、2.8 Traffic 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不确定性披露：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固定配方 2000 次日期级 bootstrap 中，测试集 MAPE/MSE/MAE 95% CI 分别为 [16.8796, 20.3743]、[0.028133, 0.043991]、[0.125860, 0.151379]；三项同时低于原 MoE-Rail 阈值的比例为 63.15%。因此论文写为“点估计三指标均优且重采样稳定性较高”，不写成任意重采样都显著占优。</w:t>
      </w:r>
    </w:p>
    <w:p>
      <w:pPr/>
      <w:r>
        <w:rPr>
          <w:rFonts w:ascii="Times New Roman" w:hAnsi="Times New Roman" w:eastAsia="STSong"/>
          <w:b w:val="0"/>
          <w:sz w:val="21"/>
        </w:rPr>
        <w:t>现代强基线边界审计：进一步补充非配对优势边界分析。相对当前最强现代基线 FreEformer，Strict RAMR-VE 点估计 MAPE/MSE/MAE 分别降低 7.98%、10.96%、6.83%；以 FreEformer 点估计为阈值，2000 次日期级 bootstrap 中三项同时更优比例为 82.90%，分项 MAPE/MSE/MAE 更优比例分别为 95.80%、85.20%、92.60%。由于现代强基线未保存逐样本预测，该结果不写作配对显著性检验。</w:t>
      </w:r>
    </w:p>
    <w:p>
      <w:r>
        <w:rPr>
          <w:rFonts w:ascii="Times New Roman" w:hAnsi="Times New Roman" w:eastAsia="STSong"/>
          <w:sz w:val="21"/>
        </w:rPr>
        <w:t>全指标支配审计：为进一步回应“MAE 是否仍为弱项”的问题，新增现代强基线全指标支配审计。Strict RAMR-VE在DLinear、PatchTST、iTransformer、TimeMixer、FreEformer五个现代基线与MAPE/MSE/MAE三个指标构成的15个点估计比较单元中全部更低，支配率为15/15；以Strict RAMR-VE日期级95% CI上界与各基线点估计比较，严格低于基线的单元为10/15。该结果证明当前协议下MAE点估计已同步优于现代强基线，但仍不写作逐样本配对显著性检验。</w:t>
      </w:r>
    </w:p>
    <w:p>
      <w:r>
        <w:rPr>
          <w:rFonts w:ascii="Times New Roman" w:hAnsi="Times New Roman" w:eastAsia="STSong"/>
          <w:sz w:val="21"/>
        </w:rPr>
        <w:t>配对预测审计： 进一步补充现代强基线 prediction-export rerun，在验证集选择最佳 epoch 后保存测试集逐样本预测，并逐文件校验测试目标与 Strict RAMR-VE 固定预测完全一致。配对审计显示，Strict RAMR-VE 在同一测试日期和20个目标变量上相对五个现代强基线的 15/15 个 MAPE/MSE/MAE 点估计比较单元均更低，日期级 bootstrap 中三指标同时更优的概率最低为 89.40%。该结果作为补充逐样本可比性证据，不替换原现代强基线主表。</w:t>
      </w:r>
    </w:p>
    <w:p>
      <w:pPr/>
      <w:r>
        <w:rPr>
          <w:rFonts w:ascii="Times New Roman" w:hAnsi="Times New Roman" w:eastAsia="STSong"/>
          <w:sz w:val="21"/>
        </w:rPr>
        <w:t>配对统计审计：进一步以测试日期为配对单位补充 Wilcoxon 符号秩检验、Monte Carlo 符号置换检验和 Holm 多重比较校正。结果显示，15/15 个点估计差值为正，15/15 个 Wilcoxon-Holm 单侧检验在 α=0.01 下显著；bootstrap 95% CI 下界为正和符号置换-Holm 显著的单元均为 14/15，唯一边界为 TimeMixer 的 MSE。该结果支持“MAE 并非弱项、三指标点估计和配对秩检验均占优”，同时保留有限测试窗口的不确定性边界。</w:t>
      </w:r>
    </w:p>
    <w:p>
      <w:pPr/>
      <w:r>
        <w:rPr>
          <w:rFonts w:ascii="Times New Roman" w:hAnsi="Times New Roman" w:eastAsia="STSong"/>
        </w:rPr>
      </w:r>
      <w:r>
        <w:rPr>
          <w:rFonts w:ascii="Times New Roman" w:hAnsi="Times New Roman" w:eastAsia="STSong"/>
          <w:sz w:val="21"/>
        </w:rPr>
        <w:t>压力场景审计：针对“突发或极端需求下是否仍有效”的疑问，新增高需求/高波动压力场景对比。高需求日上 Strict RAMR-VE 三项指标均排名第一；高日际变化日上 Strict RAMR-VE 的 MAPE 为 24.8108%，排名第一，但 MSE/MAE 不优于 TimeMixer。该结果进一步说明最终模型在高需求压力场景下具有优势，同时论文保留“日际突变并非所有指标最优”的边界。</w:t>
      </w:r>
    </w:p>
    <w:p>
      <w:pPr/>
      <w:r>
        <w:rPr>
          <w:rFonts w:ascii="Times New Roman" w:hAnsi="Times New Roman" w:eastAsia="STSong"/>
          <w:sz w:val="21"/>
        </w:rPr>
        <w:t>场景分层审计：针对“日历场景输入是否真正有效”的疑问，新增工作日/周末现代强基线分层对比。Strict RAMR-VE在152个工作日样本上的MAPE/MSE/MAE为18.1153%/0.038406/0.135967，在60个周末样本上为19.6382%/0.029723/0.142826；两类场景下三项指标均优于五个现代强基线。该结果与门控统计中“工作日短期专家权重高、周末分布偏移专家权重高”的机制解释相互印证，但不作为测试集调参依据。</w:t>
      </w:r>
    </w:p>
    <w:p>
      <w:pPr/>
      <w:r>
        <w:rPr>
          <w:rFonts w:ascii="Times New Roman" w:hAnsi="Times New Roman" w:eastAsia="STSong"/>
          <w:b w:val="0"/>
          <w:sz w:val="21"/>
        </w:rPr>
        <w:t>站点方向剖面：进一步补充站点/方向级误差审计。Strict RAMR-VE 在“南京南→方向站”和“方向站→南京南”两个方向上的聚合 MAPE 分别为 17.8501% 和 19.2425%，20 个目标变量 MAPE 中位数为 16.4564%，16/20 个目标变量低于 20%。同时修订稿如实披露低客流方向存在更高百分比误差，避免仅用总体指标掩盖局部风险。</w:t>
      </w:r>
    </w:p>
    <w:p>
      <w:r>
        <w:rPr>
          <w:rFonts w:ascii="Times New Roman" w:hAnsi="Times New Roman" w:eastAsia="STSong"/>
          <w:sz w:val="21"/>
        </w:rPr>
        <w:t>流量分层剖面：进一步按单点客流规模和日期总需求进行事后误差审计。单点客流不低于3000人次样本的MAPE/MSE/MAE为13.0327%/0.034273/0.129906，低流量样本（小于500人次）为34.5288%/0.245261/0.334380；高需求日为23.9754%/0.054716/0.187630，高于常规需求日的16.1755%/0.021710/0.114732。该结果说明模型在主业务高流量样本上更稳定，同时明确低流量方向和高需求日期仍是后续改进重点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消融实验建议增加日历特征输入、负载均衡约束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建议增加日历特征输入、负载均衡约束等消融验证。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已新增固定 checkpoint 消融套件，覆盖 scene gating、regime routing、负载均衡形式和分布偏移特征集合。所有 checkpoint 均为验证集保存结果，测试集仅最终评估一次。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2.6 消融实验新增段落，Word 表5。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完整单 checkpoint 为 MAPE=21.6706%、MSE=0.046175、MAE=0.156578；移除 scene gating 后退化为 23.3886%、0.052137、0.171826；移除 regime routing 后退化为 22.9143%、0.044304、0.160740；方差负载均衡为 21.7700%、0.046378、0.158459。该结果支持日历场景输入与 regime routing 对专家路由有效。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文字表达不清晰：日粒度预测不应强调日内高频、早晚高峰；负载均衡称谓不一致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论文是日粒度铁路客流预测，不宜强调日内高频波动、早晚高峰；负载均衡前文称为熵正则，但公式似乎为均匀分布惩罚。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相关表述统一改为“相邻日期局部波动”“跨周周期”“周末转换”“窗口级分布偏移”等日粒度语义，不再使用日内高频和早晚高峰表述。负载均衡部分统一命名为“高熵负载均衡约束”，并说明训练目标最小化 `sum(p log p)` 等价于最大化批次平均专家使用熵；方差型负载约束仅作为消融对照。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方法部分训练目标、2.7 机制分析、结论。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格式审计未发现日内高频、早晚高峰等旧表述。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总体修订结论</w:t>
      </w:r>
    </w:p>
    <w:p>
      <w:r>
        <w:rPr>
          <w:rFonts w:ascii="Times New Roman" w:hAnsi="Times New Roman" w:cs="Times New Roman" w:eastAsia="STSong"/>
          <w:b w:val="0"/>
          <w:sz w:val="21"/>
        </w:rPr>
        <w:t>修订后论文形成以下闭环：</w:t>
      </w:r>
    </w:p>
    <w:p>
      <w:r>
        <w:rPr>
          <w:rFonts w:ascii="Times New Roman" w:hAnsi="Times New Roman" w:cs="Times New Roman" w:eastAsia="STSong"/>
          <w:b w:val="0"/>
          <w:sz w:val="21"/>
        </w:rPr>
        <w:t>1. 方法叙事从工程式 MoE 组合升级为场景条件化非平稳分解-路由机制。</w:t>
      </w:r>
    </w:p>
    <w:p>
      <w:r>
        <w:rPr>
          <w:rFonts w:ascii="Times New Roman" w:hAnsi="Times New Roman" w:cs="Times New Roman" w:eastAsia="STSong"/>
          <w:b w:val="0"/>
          <w:sz w:val="21"/>
        </w:rPr>
        <w:t>2. 数据、特征工程、消融、门控统计、现代强基线和无泄露验证集集成均已补充证据。</w:t>
      </w:r>
    </w:p>
    <w:p>
      <w:r>
        <w:rPr>
          <w:rFonts w:ascii="Times New Roman" w:hAnsi="Times New Roman" w:eastAsia="STSong"/>
        </w:rPr>
      </w:r>
      <w:r>
        <w:rPr>
          <w:rFonts w:ascii="Times New Roman" w:hAnsi="Times New Roman" w:eastAsia="STSong"/>
        </w:rPr>
      </w:r>
      <w:r>
        <w:rPr>
          <w:rFonts w:ascii="Times New Roman" w:hAnsi="Times New Roman" w:eastAsia="STSong"/>
          <w:sz w:val="21"/>
        </w:rPr>
        <w:t>3. 主数据集最终结果为 MAPE=18.5463%、MSE=0.035640、MAE=0.138028，三项指标均优于原 MoE-Rail 与新增现代强基线；现代强基线全指标支配审计显示 15/15 个点估计比较单元均更优，配对预测审计中三指标同时更优的日期级 bootstrap 概率最低为 89.40%，配对统计审计中 15/15 个 Wilcoxon-Holm 单侧检验显著。</w:t>
      </w:r>
    </w:p>
    <w:p>
      <w:r>
        <w:rPr>
          <w:rFonts w:ascii="Times New Roman" w:hAnsi="Times New Roman" w:cs="Times New Roman" w:eastAsia="STSong"/>
          <w:b w:val="0"/>
          <w:sz w:val="21"/>
        </w:rPr>
        <w:t>4. 对统计特征、Traffic 跨粒度实验和泛化结论均保留必要边界，不将分布偏移代理写成事件因果识别，也不将单一 Traffic 结果写成稳定跨域泛化证明。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STSong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cs="Times New Roman" w:eastAsia="STSong"/>
      <w:sz w:val="21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cs="Times New Roman" w:eastAsia="STSong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cs="Times New Roman" w:eastAsia="STSong"/>
      <w:sz w:val="21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cs="Times New Roman" w:eastAsia="STSong"/>
      <w:sz w:val="21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cs="Times New Roman" w:eastAsia="STSong"/>
      <w:sz w:val="21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cs="Times New Roman" w:eastAsia="STSong"/>
      <w:sz w:val="21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STSong"/>
      <w:sz w:val="21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STSong"/>
      <w:sz w:val="21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cs="Times New Roman" w:eastAsia="STSong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cs="Times New Roman" w:eastAsia="STSong"/>
      <w:b/>
      <w:bCs/>
      <w:sz w:val="21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cs="Times New Roman" w:eastAsia="STSong"/>
      <w:i/>
      <w:iCs/>
      <w:sz w:val="2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cs="Times New Roman" w:eastAsia="STSong"/>
      <w:i/>
      <w:iCs/>
      <w:color w:val="808080" w:themeColor="text1" w:themeTint="7F"/>
      <w:sz w:val="21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cs="Times New Roman" w:eastAsia="STSong"/>
      <w:smallCaps/>
      <w:color w:val="C0504D" w:themeColor="accent2"/>
      <w:sz w:val="21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cs="Times New Roman" w:eastAsia="STSong"/>
      <w:b/>
      <w:bCs/>
      <w:smallCaps/>
      <w:color w:val="C0504D" w:themeColor="accent2"/>
      <w:spacing w:val="5"/>
      <w:sz w:val="21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cs="Times New Roman" w:eastAsia="STSong"/>
      <w:b/>
      <w:bCs/>
      <w:smallCaps/>
      <w:spacing w:val="5"/>
      <w:sz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cs="Times New Roman" w:eastAsia="STSong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000000" w:themeColor="text1" w:themeShade="BF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65F91" w:themeColor="accent1" w:themeShade="BF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943634" w:themeColor="accent2" w:themeShade="BF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76923C" w:themeColor="accent3" w:themeShade="BF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5F497A" w:themeColor="accent4" w:themeShade="BF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1849B" w:themeColor="accent5" w:themeShade="BF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E36C0A" w:themeColor="accent6" w:themeShade="BF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