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r>
        <w:rPr>
          <w:rFonts w:ascii="Times New Roman" w:hAnsi="Times New Roman" w:eastAsia="STSong"/>
        </w:rPr>
        <w:t>为进一步提高现代强基线比较的可检验性，本文额外进行了prediction-export rerun：现代强基线仍按验证集选择最佳epoch，但在最终模型固定后导出测试集逐样本预测。配对审计逐文件确认五个现代强基线与Strict RAMR-VE使用完全一致的测试目标数组；在同一测试日期和20个目标变量上，Strict RAMR-VE相对DLinear、PatchTST、iTransformer、TimeMixer和FreEformer的MAPE、MSE、MAE共15个点估计比较单元均更低。日期级bootstrap显示，三项指标同时优于对应现代基线的概率范围为89.40%至100.00%，其中最接近边界为TimeMixer。该结果作为逐样本可比性补充证据，不替换表2中的原现代强基线主结果。</w:t>
      </w:r>
    </w:p>
    <w:p>
      <w:pPr/>
      <w:r>
        <w:rPr>
          <w:rFonts w:ascii="Times New Roman" w:hAnsi="Times New Roman" w:eastAsia="STSong"/>
        </w:rPr>
        <w:t>在此基础上，本文进一步以测试日期为配对单位进行统计审计。对每个日期保留20个目标变量的整体结构，计算现代基线误差与Strict RAMR-VE误差的差值，并对15个“模型-指标”比较单元执行单侧Wilcoxon符号秩检验和Monte Carlo符号置换检验，随后采用Holm方法进行多重比较校正。结果显示，15/15个点估计差值为正，15/15个Wilcoxon-Holm检验在α=0.01水平下显著，说明Strict RAMR-VE并非仅依赖少数样本取得总体优势。与此同时，bootstrap 95%均值差置信区间下界为正的单元为14/15，符号置换-Holm检验显著的单元为14/15；唯一边界为TimeMixer的MSE，其bootstrap区间为[-0.001809, 0.008071]，符号置换-Holm p=0.1057。因此本文将该结果表述为“点估计和日期级配对秩检验均支持优势”，同时保留TimeMixer-MSE边界和有限测试窗口不确定性。</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pPr/>
      <w:r>
        <w:rPr>
          <w:rFonts w:ascii="Times New Roman" w:hAnsi="Times New Roman" w:eastAsia="STSong"/>
        </w:rPr>
        <w:t>针对审稿人关于突发扰动和极端需求的疑问，本文进一步开展压力场景审计。该审计从真实CSV重建测试日期，校验重建目标数组与固定预测文件完全一致，并将测试日期划分为日总客流最高25%的高需求日和相对前一日日总客流绝对变化最高25%的高日际变化日。高需求日上，Strict RAMR-VE的MAPE/MSE/MAE为23.9754%/0.054716/0.187630，三项指标均优于DLinear、PatchTST、iTransformer、TimeMixer和FreEformer。高日际变化日上，Strict RAMR-VE的MAPE为24.8108%，为所有模型最低；但MSE和MAE最优模型为TimeMixer，分别为0.051543和0.176727。该结果说明分布偏移和压力场景证据支持模型在高需求日期上的整体优势，但日际突变场景并非所有指标最优；本文不将窗口统计量解释为极端天气、运营管制等外生事件的因果识别，只将其作为可观测客流分布偏移的代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配对预测审计中三指标同时更优的日期级bootstrap概率最低为89.40%。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