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cs="Times New Roman" w:eastAsia="STSong"/>
          <w:b w:val="0"/>
          <w:sz w:val="21"/>
        </w:rPr>
        <w:t>3. 主数据集最终结果为 MAPE=18.5463%、MSE=0.035640、MAE=0.138028，三项指标均优于原 MoE-Rail 与新增现代强基线。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