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32"/>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楷体" w:hAnsi="楷体" w:eastAsia="楷体"/>
          <w:sz w:val="32"/>
          <w:szCs w:val="32"/>
          <w:highlight w:val="none"/>
        </w:rPr>
        <w:t>魏涛涛</w:t>
      </w:r>
      <w:r>
        <w:rPr>
          <w:rFonts w:ascii="楷体" w:hAnsi="楷体" w:eastAsia="楷体"/>
          <w:sz w:val="28"/>
          <w:szCs w:val="28"/>
          <w:highlight w:val="none"/>
          <w:vertAlign w:val="superscript"/>
        </w:rPr>
        <w:t>1,2</w:t>
      </w:r>
      <w:r>
        <w:rPr>
          <w:rFonts w:ascii="楷体" w:hAnsi="楷体" w:eastAsia="楷体"/>
          <w:sz w:val="28"/>
          <w:szCs w:val="28"/>
          <w:highlight w:val="none"/>
        </w:rPr>
        <w:t xml:space="preserve"> </w:t>
      </w:r>
      <w:r>
        <w:rPr>
          <w:rFonts w:ascii="楷体" w:hAnsi="楷体" w:eastAsia="楷体"/>
          <w:sz w:val="32"/>
          <w:szCs w:val="32"/>
          <w:highlight w:val="none"/>
        </w:rPr>
        <w:t>黄婵妮</w:t>
      </w:r>
      <w:r>
        <w:rPr>
          <w:rFonts w:ascii="楷体" w:hAnsi="楷体" w:eastAsia="楷体"/>
          <w:sz w:val="28"/>
          <w:szCs w:val="28"/>
          <w:highlight w:val="none"/>
          <w:vertAlign w:val="superscript"/>
        </w:rPr>
        <w:t>3</w:t>
      </w:r>
      <w:r>
        <w:rPr>
          <w:rFonts w:hint="eastAsia" w:ascii="楷体" w:hAnsi="楷体" w:eastAsia="楷体"/>
          <w:sz w:val="28"/>
          <w:szCs w:val="28"/>
          <w:highlight w:val="none"/>
          <w:vertAlign w:val="superscript"/>
        </w:rPr>
        <w:t>，4</w:t>
      </w:r>
      <w:r>
        <w:rPr>
          <w:rFonts w:ascii="楷体" w:hAnsi="楷体" w:eastAsia="楷体"/>
          <w:sz w:val="28"/>
          <w:szCs w:val="28"/>
          <w:highlight w:val="none"/>
          <w:vertAlign w:val="superscript"/>
        </w:rPr>
        <w:t xml:space="preserve">  </w:t>
      </w:r>
      <w:r>
        <w:rPr>
          <w:rFonts w:ascii="楷体" w:hAnsi="楷体" w:eastAsia="楷体"/>
          <w:sz w:val="32"/>
          <w:szCs w:val="32"/>
          <w:highlight w:val="none"/>
        </w:rPr>
        <w:t>冯翔</w:t>
      </w:r>
      <w:r>
        <w:rPr>
          <w:rFonts w:ascii="楷体" w:hAnsi="楷体" w:eastAsia="楷体"/>
          <w:sz w:val="28"/>
          <w:szCs w:val="28"/>
          <w:highlight w:val="none"/>
          <w:vertAlign w:val="superscript"/>
        </w:rPr>
        <w:t>1,2</w:t>
      </w:r>
      <w:r>
        <w:rPr>
          <w:rFonts w:ascii="楷体" w:hAnsi="楷体" w:eastAsia="楷体"/>
          <w:sz w:val="32"/>
          <w:szCs w:val="32"/>
          <w:highlight w:val="none"/>
        </w:rPr>
        <w:t>吕又冉</w:t>
      </w:r>
      <w:r>
        <w:rPr>
          <w:rFonts w:ascii="楷体" w:hAnsi="楷体" w:eastAsia="楷体"/>
          <w:sz w:val="28"/>
          <w:szCs w:val="28"/>
          <w:highlight w:val="none"/>
          <w:vertAlign w:val="superscript"/>
        </w:rPr>
        <w:t>1,2</w:t>
      </w:r>
      <w:r>
        <w:rPr>
          <w:rFonts w:hint="eastAsia" w:ascii="楷体" w:hAnsi="楷体" w:eastAsia="楷体"/>
          <w:sz w:val="32"/>
          <w:szCs w:val="32"/>
          <w:highlight w:val="none"/>
          <w:lang w:val="en-US" w:eastAsia="zh-CN"/>
        </w:rPr>
        <w:t>金一</w:t>
      </w:r>
      <w:r>
        <w:rPr>
          <w:rFonts w:hint="eastAsia" w:ascii="楷体" w:hAnsi="楷体" w:eastAsia="楷体"/>
          <w:sz w:val="28"/>
          <w:szCs w:val="28"/>
          <w:highlight w:val="none"/>
          <w:vertAlign w:val="superscript"/>
          <w:lang w:val="en-US" w:eastAsia="zh-CN"/>
        </w:rPr>
        <w:t>5</w:t>
      </w:r>
      <w:r>
        <w:rPr>
          <w:rFonts w:hint="eastAsia" w:ascii="楷体" w:hAnsi="楷体" w:eastAsia="楷体"/>
          <w:sz w:val="28"/>
          <w:szCs w:val="28"/>
          <w:highlight w:val="none"/>
          <w:lang w:val="en-US" w:eastAsia="zh-CN"/>
        </w:rPr>
        <w:t xml:space="preserve"> </w:t>
      </w:r>
      <w:r>
        <w:rPr>
          <w:rFonts w:hint="eastAsia" w:ascii="楷体" w:hAnsi="楷体" w:eastAsia="楷体"/>
          <w:sz w:val="32"/>
          <w:szCs w:val="32"/>
          <w:highlight w:val="none"/>
          <w:lang w:val="en-US" w:eastAsia="zh-CN"/>
        </w:rPr>
        <w:t>李</w:t>
      </w:r>
      <w:r>
        <w:rPr>
          <w:rFonts w:ascii="楷体" w:hAnsi="楷体" w:eastAsia="楷体"/>
          <w:sz w:val="32"/>
          <w:szCs w:val="32"/>
          <w:highlight w:val="none"/>
        </w:rPr>
        <w:t>兵</w:t>
      </w:r>
      <w:r>
        <w:rPr>
          <w:rFonts w:hint="eastAsia" w:ascii="楷体" w:hAnsi="楷体" w:eastAsia="楷体"/>
          <w:sz w:val="28"/>
          <w:szCs w:val="28"/>
          <w:highlight w:val="none"/>
          <w:vertAlign w:val="superscript"/>
        </w:rPr>
        <w:t>3*</w:t>
      </w:r>
    </w:p>
    <w:p w14:paraId="2970C8A2">
      <w:pPr>
        <w:numPr>
          <w:ilvl w:val="0"/>
          <w:numId w:val="1"/>
        </w:numPr>
        <w:spacing w:line="300" w:lineRule="exact"/>
        <w:jc w:val="center"/>
        <w:rPr>
          <w:sz w:val="18"/>
          <w:szCs w:val="18"/>
          <w:highlight w:val="none"/>
        </w:rPr>
      </w:pPr>
      <w:r>
        <w:rPr>
          <w:sz w:val="18"/>
          <w:szCs w:val="18"/>
          <w:highlight w:val="none"/>
        </w:rPr>
        <w:t>江苏省铁路集团有限公司</w:t>
      </w:r>
      <w:r>
        <w:rPr>
          <w:rFonts w:hint="eastAsia"/>
          <w:sz w:val="18"/>
          <w:szCs w:val="18"/>
          <w:highlight w:val="none"/>
          <w:lang w:eastAsia="zh-CN"/>
        </w:rPr>
        <w:t>，</w:t>
      </w:r>
      <w:r>
        <w:rPr>
          <w:rFonts w:hint="eastAsia"/>
          <w:sz w:val="18"/>
          <w:szCs w:val="18"/>
          <w:highlight w:val="none"/>
          <w:lang w:val="en-US" w:eastAsia="zh-CN"/>
        </w:rPr>
        <w:t>江苏</w:t>
      </w:r>
      <w:r>
        <w:rPr>
          <w:sz w:val="18"/>
          <w:szCs w:val="18"/>
          <w:highlight w:val="none"/>
        </w:rPr>
        <w:t>，南京，210012；2. 江苏省智能与绿色铁路工程研究中心</w:t>
      </w:r>
      <w:r>
        <w:rPr>
          <w:rFonts w:hint="eastAsia"/>
          <w:sz w:val="18"/>
          <w:szCs w:val="18"/>
          <w:highlight w:val="none"/>
          <w:lang w:eastAsia="zh-CN"/>
        </w:rPr>
        <w:t>，</w:t>
      </w:r>
      <w:r>
        <w:rPr>
          <w:rFonts w:hint="eastAsia"/>
          <w:sz w:val="18"/>
          <w:szCs w:val="18"/>
          <w:highlight w:val="none"/>
          <w:lang w:val="en-US" w:eastAsia="zh-CN"/>
        </w:rPr>
        <w:t>江苏</w:t>
      </w:r>
      <w:r>
        <w:rPr>
          <w:sz w:val="18"/>
          <w:szCs w:val="18"/>
          <w:highlight w:val="none"/>
        </w:rPr>
        <w:t>，南京，210012；</w:t>
      </w:r>
      <w:r>
        <w:rPr>
          <w:rFonts w:hint="eastAsia"/>
          <w:sz w:val="18"/>
          <w:szCs w:val="18"/>
          <w:highlight w:val="none"/>
        </w:rPr>
        <w:t>3</w:t>
      </w:r>
      <w:r>
        <w:rPr>
          <w:sz w:val="18"/>
          <w:szCs w:val="18"/>
          <w:highlight w:val="none"/>
        </w:rPr>
        <w:t>. 中</w:t>
      </w:r>
      <w:r>
        <w:rPr>
          <w:rFonts w:hint="eastAsia"/>
          <w:sz w:val="18"/>
          <w:szCs w:val="18"/>
          <w:highlight w:val="none"/>
        </w:rPr>
        <w:t>国</w:t>
      </w:r>
      <w:r>
        <w:rPr>
          <w:sz w:val="18"/>
          <w:szCs w:val="18"/>
          <w:highlight w:val="none"/>
        </w:rPr>
        <w:t>科</w:t>
      </w:r>
      <w:r>
        <w:rPr>
          <w:rFonts w:hint="eastAsia"/>
          <w:sz w:val="18"/>
          <w:szCs w:val="18"/>
          <w:highlight w:val="none"/>
        </w:rPr>
        <w:t>学</w:t>
      </w:r>
      <w:r>
        <w:rPr>
          <w:sz w:val="18"/>
          <w:szCs w:val="18"/>
          <w:highlight w:val="none"/>
        </w:rPr>
        <w:t>院自动化研究所，北京，100190；</w:t>
      </w:r>
      <w:r>
        <w:rPr>
          <w:rFonts w:hint="eastAsia"/>
          <w:sz w:val="18"/>
          <w:szCs w:val="18"/>
          <w:highlight w:val="none"/>
        </w:rPr>
        <w:t>4</w:t>
      </w:r>
      <w:r>
        <w:rPr>
          <w:sz w:val="18"/>
          <w:szCs w:val="18"/>
          <w:highlight w:val="none"/>
        </w:rPr>
        <w:t>. 北京联合大学，北京，100101；</w:t>
      </w:r>
      <w:r>
        <w:rPr>
          <w:rFonts w:hint="eastAsia"/>
          <w:sz w:val="18"/>
          <w:szCs w:val="18"/>
          <w:highlight w:val="none"/>
        </w:rPr>
        <w:t>5</w:t>
      </w:r>
      <w:r>
        <w:rPr>
          <w:sz w:val="18"/>
          <w:szCs w:val="18"/>
          <w:highlight w:val="none"/>
        </w:rPr>
        <w:t xml:space="preserve">. </w:t>
      </w:r>
      <w:r>
        <w:rPr>
          <w:rFonts w:hint="eastAsia"/>
          <w:sz w:val="18"/>
          <w:szCs w:val="18"/>
          <w:highlight w:val="none"/>
          <w:lang w:val="en-US" w:eastAsia="zh-CN"/>
        </w:rPr>
        <w:t>北京交通大学</w:t>
      </w:r>
      <w:r>
        <w:rPr>
          <w:sz w:val="18"/>
          <w:szCs w:val="18"/>
          <w:highlight w:val="none"/>
        </w:rPr>
        <w:t>，北京</w:t>
      </w:r>
      <w:r>
        <w:rPr>
          <w:rFonts w:hint="eastAsia"/>
          <w:sz w:val="18"/>
          <w:szCs w:val="18"/>
          <w:highlight w:val="none"/>
          <w:lang w:val="en-US" w:eastAsia="zh-CN"/>
        </w:rPr>
        <w:t>，100044</w:t>
      </w:r>
      <w:r>
        <w:rPr>
          <w:sz w:val="18"/>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18"/>
          <w:highlight w:val="none"/>
        </w:rPr>
        <w:t>摘要：</w:t>
      </w:r>
    </w:p>
    <w:p w14:paraId="616E84BE">
      <w:pPr>
        <w:spacing w:line="300" w:lineRule="exact"/>
        <w:ind w:left="425" w:right="425"/>
        <w:rPr>
          <w:rFonts w:hint="eastAsia" w:ascii="宋体" w:hAnsi="宋体" w:eastAsia="宋体" w:cs="宋体"/>
          <w:sz w:val="18"/>
          <w:szCs w:val="18"/>
          <w:highlight w:val="none"/>
        </w:rPr>
      </w:pPr>
      <w:r>
        <w:rPr>
          <w:rFonts w:hint="eastAsia" w:ascii="宋体" w:hAnsi="宋体" w:eastAsia="宋体" w:cs="宋体"/>
          <w:sz w:val="18"/>
          <w:szCs w:val="18"/>
          <w:highlight w:val="none"/>
        </w:rPr>
        <w:t>高精度铁路客流预测对客运组织、运力配置与智能调度具有重要意义。铁路客流序列呈现短期波动、周期变化与异常扰动等多尺度非平稳特征，日粒度序列可近似为</w:t>
      </w:r>
      <m:oMath>
        <m:sSub>
          <m:sSubPr>
            <m:ctrlPr>
              <w:rPr>
                <w:rFonts w:hint="eastAsia" w:ascii="Cambria Math" w:hAnsi="Cambria Math" w:eastAsia="宋体" w:cs="宋体"/>
                <w:i/>
                <w:sz w:val="18"/>
                <w:szCs w:val="18"/>
                <w:highlight w:val="none"/>
                <w:lang w:val="en-US"/>
              </w:rPr>
            </m:ctrlPr>
          </m:sSubPr>
          <m:e>
            <m:r>
              <m:rPr/>
              <w:rPr>
                <w:rFonts w:hint="eastAsia" w:ascii="Cambria Math" w:hAnsi="Cambria Math" w:eastAsia="宋体" w:cs="宋体"/>
                <w:sz w:val="18"/>
                <w:szCs w:val="18"/>
                <w:highlight w:val="none"/>
                <w:lang w:val="en-US" w:eastAsia="zh-CN"/>
              </w:rPr>
              <m:t>X</m:t>
            </m:r>
            <m:ctrlPr>
              <w:rPr>
                <w:rFonts w:hint="eastAsia" w:ascii="Cambria Math" w:hAnsi="Cambria Math" w:eastAsia="宋体" w:cs="宋体"/>
                <w:i/>
                <w:sz w:val="18"/>
                <w:szCs w:val="18"/>
                <w:highlight w:val="none"/>
                <w:lang w:val="en-US"/>
              </w:rPr>
            </m:ctrlPr>
          </m:e>
          <m:sub>
            <m:r>
              <m:rPr/>
              <w:rPr>
                <w:rFonts w:hint="eastAsia" w:ascii="Cambria Math" w:hAnsi="Cambria Math" w:eastAsia="宋体" w:cs="宋体"/>
                <w:sz w:val="18"/>
                <w:szCs w:val="18"/>
                <w:highlight w:val="none"/>
                <w:lang w:val="en-US" w:eastAsia="zh-CN"/>
              </w:rPr>
              <m:t>t</m:t>
            </m:r>
            <m:ctrlPr>
              <w:rPr>
                <w:rFonts w:hint="eastAsia" w:ascii="Cambria Math" w:hAnsi="Cambria Math" w:eastAsia="宋体" w:cs="宋体"/>
                <w:i/>
                <w:sz w:val="18"/>
                <w:szCs w:val="18"/>
                <w:highlight w:val="none"/>
                <w:lang w:val="en-US"/>
              </w:rPr>
            </m:ctrlPr>
          </m:sub>
        </m:sSub>
        <m:r>
          <m:rPr/>
          <w:rPr>
            <w:rFonts w:hint="eastAsia" w:ascii="Cambria Math" w:hAnsi="Cambria Math" w:eastAsia="宋体" w:cs="宋体"/>
            <w:sz w:val="18"/>
            <w:szCs w:val="18"/>
            <w:highlight w:val="none"/>
            <w:lang w:val="en-US" w:eastAsia="zh-CN"/>
          </w:rPr>
          <m:t>=</m:t>
        </m:r>
        <m:sSub>
          <m:sSubPr>
            <m:ctrlPr>
              <w:rPr>
                <w:rFonts w:hint="eastAsia" w:ascii="Cambria Math" w:hAnsi="Cambria Math" w:eastAsia="宋体" w:cs="宋体"/>
                <w:i/>
                <w:sz w:val="18"/>
                <w:szCs w:val="18"/>
                <w:highlight w:val="none"/>
                <w:lang w:val="en-US" w:eastAsia="zh-CN"/>
              </w:rPr>
            </m:ctrlPr>
          </m:sSubPr>
          <m:e>
            <m:r>
              <m:rPr/>
              <w:rPr>
                <w:rFonts w:hint="eastAsia" w:ascii="Cambria Math" w:hAnsi="Cambria Math" w:eastAsia="宋体" w:cs="宋体"/>
                <w:sz w:val="18"/>
                <w:szCs w:val="18"/>
                <w:highlight w:val="none"/>
                <w:lang w:val="en-US" w:eastAsia="zh-CN"/>
              </w:rPr>
              <m:t>T</m:t>
            </m:r>
            <m:ctrlPr>
              <w:rPr>
                <w:rFonts w:hint="eastAsia" w:ascii="Cambria Math" w:hAnsi="Cambria Math" w:eastAsia="宋体" w:cs="宋体"/>
                <w:i/>
                <w:sz w:val="18"/>
                <w:szCs w:val="18"/>
                <w:highlight w:val="none"/>
                <w:lang w:val="en-US" w:eastAsia="zh-CN"/>
              </w:rPr>
            </m:ctrlPr>
          </m:e>
          <m:sub>
            <m:r>
              <m:rPr/>
              <w:rPr>
                <w:rFonts w:hint="eastAsia" w:ascii="Cambria Math" w:hAnsi="Cambria Math" w:eastAsia="宋体" w:cs="宋体"/>
                <w:sz w:val="18"/>
                <w:szCs w:val="18"/>
                <w:highlight w:val="none"/>
                <w:lang w:val="en-US" w:eastAsia="zh-CN"/>
              </w:rPr>
              <m:t>t</m:t>
            </m:r>
            <m:ctrlPr>
              <w:rPr>
                <w:rFonts w:hint="eastAsia" w:ascii="Cambria Math" w:hAnsi="Cambria Math" w:eastAsia="宋体" w:cs="宋体"/>
                <w:i/>
                <w:sz w:val="18"/>
                <w:szCs w:val="18"/>
                <w:highlight w:val="none"/>
                <w:lang w:val="en-US" w:eastAsia="zh-CN"/>
              </w:rPr>
            </m:ctrlPr>
          </m:sub>
        </m:sSub>
        <m:r>
          <m:rPr/>
          <w:rPr>
            <w:rFonts w:hint="eastAsia" w:ascii="Cambria Math" w:hAnsi="Cambria Math" w:eastAsia="宋体" w:cs="宋体"/>
            <w:sz w:val="18"/>
            <w:szCs w:val="18"/>
            <w:highlight w:val="none"/>
            <w:lang w:val="en-US" w:eastAsia="zh-CN"/>
          </w:rPr>
          <m:t>+</m:t>
        </m:r>
        <m:sSub>
          <m:sSubPr>
            <m:ctrlPr>
              <w:rPr>
                <w:rFonts w:hint="eastAsia" w:ascii="Cambria Math" w:hAnsi="Cambria Math" w:eastAsia="宋体" w:cs="宋体"/>
                <w:i/>
                <w:sz w:val="18"/>
                <w:szCs w:val="18"/>
                <w:highlight w:val="none"/>
                <w:lang w:val="en-US" w:eastAsia="zh-CN"/>
              </w:rPr>
            </m:ctrlPr>
          </m:sSubPr>
          <m:e>
            <m:r>
              <m:rPr/>
              <w:rPr>
                <w:rFonts w:hint="eastAsia" w:ascii="Cambria Math" w:hAnsi="Cambria Math" w:eastAsia="宋体" w:cs="宋体"/>
                <w:sz w:val="18"/>
                <w:szCs w:val="18"/>
                <w:highlight w:val="none"/>
                <w:lang w:val="en-US" w:eastAsia="zh-CN"/>
              </w:rPr>
              <m:t>S</m:t>
            </m:r>
            <m:ctrlPr>
              <w:rPr>
                <w:rFonts w:hint="eastAsia" w:ascii="Cambria Math" w:hAnsi="Cambria Math" w:eastAsia="宋体" w:cs="宋体"/>
                <w:i/>
                <w:sz w:val="18"/>
                <w:szCs w:val="18"/>
                <w:highlight w:val="none"/>
                <w:lang w:val="en-US" w:eastAsia="zh-CN"/>
              </w:rPr>
            </m:ctrlPr>
          </m:e>
          <m:sub>
            <m:r>
              <m:rPr/>
              <w:rPr>
                <w:rFonts w:hint="eastAsia" w:ascii="Cambria Math" w:hAnsi="Cambria Math" w:eastAsia="宋体" w:cs="宋体"/>
                <w:sz w:val="18"/>
                <w:szCs w:val="18"/>
                <w:highlight w:val="none"/>
                <w:lang w:val="en-US" w:eastAsia="zh-CN"/>
              </w:rPr>
              <m:t>t</m:t>
            </m:r>
            <m:ctrlPr>
              <w:rPr>
                <w:rFonts w:hint="eastAsia" w:ascii="Cambria Math" w:hAnsi="Cambria Math" w:eastAsia="宋体" w:cs="宋体"/>
                <w:i/>
                <w:sz w:val="18"/>
                <w:szCs w:val="18"/>
                <w:highlight w:val="none"/>
                <w:lang w:val="en-US" w:eastAsia="zh-CN"/>
              </w:rPr>
            </m:ctrlPr>
          </m:sub>
        </m:sSub>
        <m:r>
          <m:rPr/>
          <w:rPr>
            <w:rFonts w:hint="eastAsia" w:ascii="Cambria Math" w:hAnsi="Cambria Math" w:eastAsia="宋体" w:cs="宋体"/>
            <w:sz w:val="18"/>
            <w:szCs w:val="18"/>
            <w:highlight w:val="none"/>
            <w:lang w:val="en-US" w:eastAsia="zh-CN"/>
          </w:rPr>
          <m:t>+</m:t>
        </m:r>
        <m:sSub>
          <m:sSubPr>
            <m:ctrlPr>
              <w:rPr>
                <w:rFonts w:hint="eastAsia" w:ascii="Cambria Math" w:hAnsi="Cambria Math" w:eastAsia="宋体" w:cs="宋体"/>
                <w:i/>
                <w:sz w:val="18"/>
                <w:szCs w:val="18"/>
                <w:highlight w:val="none"/>
                <w:lang w:val="en-US" w:eastAsia="zh-CN"/>
              </w:rPr>
            </m:ctrlPr>
          </m:sSubPr>
          <m:e>
            <m:r>
              <m:rPr/>
              <w:rPr>
                <w:rFonts w:hint="eastAsia" w:ascii="Cambria Math" w:hAnsi="Cambria Math" w:eastAsia="宋体" w:cs="宋体"/>
                <w:sz w:val="18"/>
                <w:szCs w:val="18"/>
                <w:highlight w:val="none"/>
                <w:lang w:val="en-US" w:eastAsia="zh-CN"/>
              </w:rPr>
              <m:t>R</m:t>
            </m:r>
            <m:ctrlPr>
              <w:rPr>
                <w:rFonts w:hint="eastAsia" w:ascii="Cambria Math" w:hAnsi="Cambria Math" w:eastAsia="宋体" w:cs="宋体"/>
                <w:i/>
                <w:sz w:val="18"/>
                <w:szCs w:val="18"/>
                <w:highlight w:val="none"/>
                <w:lang w:val="en-US" w:eastAsia="zh-CN"/>
              </w:rPr>
            </m:ctrlPr>
          </m:e>
          <m:sub>
            <m:r>
              <m:rPr/>
              <w:rPr>
                <w:rFonts w:hint="eastAsia" w:ascii="Cambria Math" w:hAnsi="Cambria Math" w:eastAsia="宋体" w:cs="宋体"/>
                <w:sz w:val="18"/>
                <w:szCs w:val="18"/>
                <w:highlight w:val="none"/>
                <w:lang w:val="en-US" w:eastAsia="zh-CN"/>
              </w:rPr>
              <m:t>t</m:t>
            </m:r>
            <m:ctrlPr>
              <w:rPr>
                <w:rFonts w:hint="eastAsia" w:ascii="Cambria Math" w:hAnsi="Cambria Math" w:eastAsia="宋体" w:cs="宋体"/>
                <w:i/>
                <w:sz w:val="18"/>
                <w:szCs w:val="18"/>
                <w:highlight w:val="none"/>
                <w:lang w:val="en-US" w:eastAsia="zh-CN"/>
              </w:rPr>
            </m:ctrlPr>
          </m:sub>
        </m:sSub>
      </m:oMath>
      <w:r>
        <w:rPr>
          <w:rFonts w:hint="eastAsia" w:ascii="宋体" w:hAnsi="宋体" w:eastAsia="宋体" w:cs="宋体"/>
          <w:sz w:val="18"/>
          <w:szCs w:val="18"/>
          <w:highlight w:val="none"/>
        </w:rPr>
        <w:t>。本文提出MoE-Rail：以时序分解为专家归纳偏置，构建短期依赖、长期依赖与统计特征三类异构专家，结合场景感知门控与负载均衡约束实现自适应融合。某铁路枢纽6站877天实验表明，测试集MAPE为19.41%，优于全部对比基线与消融变体；STL—门控机制验证显示节假日统计专家权重显著升高；Traffic数据集上平均MSE为0.293，验证框架跨域泛化能力。</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18"/>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18"/>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18"/>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黑体" w:hAnsi="黑体" w:eastAsia="黑体"/>
          <w:sz w:val="32"/>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黑体" w:hAnsi="黑体" w:eastAsia="黑体"/>
          <w:sz w:val="32"/>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i/>
          <w:iCs/>
          <w:sz w:val="28"/>
          <w:szCs w:val="28"/>
          <w:highlight w:val="none"/>
        </w:rPr>
        <w:t>W</w:t>
      </w:r>
      <w:r>
        <w:rPr>
          <w:rFonts w:hint="eastAsia"/>
          <w:i/>
          <w:iCs/>
          <w:sz w:val="28"/>
          <w:szCs w:val="28"/>
          <w:highlight w:val="none"/>
        </w:rPr>
        <w:t xml:space="preserve">EI </w:t>
      </w:r>
      <w:r>
        <w:rPr>
          <w:i/>
          <w:iCs/>
          <w:sz w:val="28"/>
          <w:szCs w:val="28"/>
          <w:highlight w:val="none"/>
        </w:rPr>
        <w:t>Weitao</w:t>
      </w:r>
      <w:r>
        <w:rPr>
          <w:sz w:val="28"/>
          <w:szCs w:val="28"/>
          <w:highlight w:val="none"/>
          <w:vertAlign w:val="superscript"/>
        </w:rPr>
        <w:t xml:space="preserve"> 1,2</w:t>
      </w:r>
      <w:r>
        <w:rPr>
          <w:sz w:val="28"/>
          <w:szCs w:val="28"/>
          <w:highlight w:val="none"/>
        </w:rPr>
        <w:t>，</w:t>
      </w:r>
      <w:r>
        <w:rPr>
          <w:i/>
          <w:iCs/>
          <w:sz w:val="28"/>
          <w:szCs w:val="28"/>
          <w:highlight w:val="none"/>
        </w:rPr>
        <w:t>H</w:t>
      </w:r>
      <w:r>
        <w:rPr>
          <w:rFonts w:hint="eastAsia"/>
          <w:i/>
          <w:iCs/>
          <w:sz w:val="28"/>
          <w:szCs w:val="28"/>
          <w:highlight w:val="none"/>
        </w:rPr>
        <w:t>UANG</w:t>
      </w:r>
      <w:r>
        <w:rPr>
          <w:i/>
          <w:iCs/>
          <w:sz w:val="28"/>
          <w:szCs w:val="28"/>
          <w:highlight w:val="none"/>
        </w:rPr>
        <w:t xml:space="preserve"> Channi</w:t>
      </w:r>
      <w:r>
        <w:rPr>
          <w:sz w:val="28"/>
          <w:szCs w:val="28"/>
          <w:highlight w:val="none"/>
          <w:vertAlign w:val="superscript"/>
        </w:rPr>
        <w:t>3</w:t>
      </w:r>
      <w:r>
        <w:rPr>
          <w:rFonts w:hint="eastAsia"/>
          <w:sz w:val="28"/>
          <w:szCs w:val="28"/>
          <w:highlight w:val="none"/>
          <w:vertAlign w:val="superscript"/>
        </w:rPr>
        <w:t>,4</w:t>
      </w:r>
      <w:r>
        <w:rPr>
          <w:sz w:val="28"/>
          <w:szCs w:val="28"/>
          <w:highlight w:val="none"/>
        </w:rPr>
        <w:t>，</w:t>
      </w:r>
      <w:r>
        <w:rPr>
          <w:i/>
          <w:iCs/>
          <w:sz w:val="28"/>
          <w:szCs w:val="28"/>
          <w:highlight w:val="none"/>
        </w:rPr>
        <w:t>F</w:t>
      </w:r>
      <w:r>
        <w:rPr>
          <w:rFonts w:hint="eastAsia"/>
          <w:i/>
          <w:iCs/>
          <w:sz w:val="28"/>
          <w:szCs w:val="28"/>
          <w:highlight w:val="none"/>
        </w:rPr>
        <w:t xml:space="preserve">ENG </w:t>
      </w:r>
      <w:r>
        <w:rPr>
          <w:i/>
          <w:iCs/>
          <w:sz w:val="28"/>
          <w:szCs w:val="28"/>
          <w:highlight w:val="none"/>
        </w:rPr>
        <w:t>Xiang</w:t>
      </w:r>
      <w:r>
        <w:rPr>
          <w:sz w:val="28"/>
          <w:szCs w:val="28"/>
          <w:highlight w:val="none"/>
          <w:vertAlign w:val="superscript"/>
        </w:rPr>
        <w:t xml:space="preserve"> 1,2</w:t>
      </w:r>
      <w:r>
        <w:rPr>
          <w:sz w:val="28"/>
          <w:szCs w:val="28"/>
          <w:highlight w:val="none"/>
        </w:rPr>
        <w:t>，</w:t>
      </w:r>
      <w:r>
        <w:rPr>
          <w:i/>
          <w:iCs/>
          <w:sz w:val="28"/>
          <w:szCs w:val="28"/>
          <w:highlight w:val="none"/>
        </w:rPr>
        <w:t>L</w:t>
      </w:r>
      <w:r>
        <w:rPr>
          <w:rFonts w:hint="eastAsia"/>
          <w:i/>
          <w:iCs/>
          <w:sz w:val="28"/>
          <w:szCs w:val="28"/>
          <w:highlight w:val="none"/>
        </w:rPr>
        <w:t xml:space="preserve">V </w:t>
      </w:r>
      <w:r>
        <w:rPr>
          <w:i/>
          <w:iCs/>
          <w:sz w:val="28"/>
          <w:szCs w:val="28"/>
          <w:highlight w:val="none"/>
        </w:rPr>
        <w:t>Youran</w:t>
      </w:r>
      <w:r>
        <w:rPr>
          <w:sz w:val="28"/>
          <w:szCs w:val="28"/>
          <w:highlight w:val="none"/>
          <w:vertAlign w:val="superscript"/>
        </w:rPr>
        <w:t>1,2</w:t>
      </w:r>
      <w:r>
        <w:rPr>
          <w:sz w:val="28"/>
          <w:szCs w:val="28"/>
          <w:highlight w:val="none"/>
        </w:rPr>
        <w:t>，</w:t>
      </w:r>
      <w:r>
        <w:rPr>
          <w:rFonts w:hint="eastAsia"/>
          <w:i/>
          <w:iCs/>
          <w:sz w:val="28"/>
          <w:szCs w:val="28"/>
          <w:highlight w:val="none"/>
        </w:rPr>
        <w:t xml:space="preserve">Jin Yi </w:t>
      </w:r>
      <w:r>
        <w:rPr>
          <w:rFonts w:hint="eastAsia"/>
          <w:sz w:val="28"/>
          <w:szCs w:val="28"/>
          <w:highlight w:val="none"/>
          <w:vertAlign w:val="superscript"/>
          <w:lang w:val="en-US" w:eastAsia="zh-CN"/>
        </w:rPr>
        <w:t>5</w:t>
      </w:r>
      <w:r>
        <w:rPr>
          <w:sz w:val="28"/>
          <w:szCs w:val="28"/>
          <w:highlight w:val="none"/>
        </w:rPr>
        <w:t>，</w:t>
      </w:r>
      <w:r>
        <w:rPr>
          <w:i/>
          <w:iCs/>
          <w:sz w:val="28"/>
          <w:szCs w:val="28"/>
          <w:highlight w:val="none"/>
        </w:rPr>
        <w:t>L</w:t>
      </w:r>
      <w:r>
        <w:rPr>
          <w:rFonts w:hint="eastAsia"/>
          <w:i/>
          <w:iCs/>
          <w:sz w:val="28"/>
          <w:szCs w:val="28"/>
          <w:highlight w:val="none"/>
        </w:rPr>
        <w:t xml:space="preserve">I </w:t>
      </w:r>
      <w:r>
        <w:rPr>
          <w:i/>
          <w:iCs/>
          <w:sz w:val="28"/>
          <w:szCs w:val="28"/>
          <w:highlight w:val="none"/>
        </w:rPr>
        <w:t>Bing</w:t>
      </w:r>
      <w:r>
        <w:rPr>
          <w:rFonts w:hint="eastAsia"/>
          <w:i/>
          <w:iCs/>
          <w:sz w:val="28"/>
          <w:szCs w:val="28"/>
          <w:highlight w:val="none"/>
        </w:rPr>
        <w:t>3*</w:t>
      </w:r>
    </w:p>
    <w:p w14:paraId="71A5BBEF">
      <w:pPr>
        <w:numPr>
          <w:ilvl w:val="0"/>
          <w:numId w:val="2"/>
        </w:numPr>
        <w:spacing w:line="300" w:lineRule="exact"/>
        <w:jc w:val="center"/>
        <w:rPr>
          <w:sz w:val="18"/>
          <w:szCs w:val="18"/>
          <w:highlight w:val="none"/>
        </w:rPr>
      </w:pPr>
      <w:r>
        <w:rPr>
          <w:sz w:val="18"/>
          <w:szCs w:val="18"/>
          <w:highlight w:val="none"/>
        </w:rPr>
        <w:t>Jiangsu Railway Group Co., Ltd.,</w:t>
      </w:r>
      <w:r>
        <w:rPr>
          <w:rFonts w:hint="eastAsia"/>
          <w:sz w:val="18"/>
          <w:szCs w:val="18"/>
          <w:highlight w:val="none"/>
          <w:lang w:val="en-US" w:eastAsia="zh-CN"/>
        </w:rPr>
        <w:t xml:space="preserve"> </w:t>
      </w:r>
      <w:r>
        <w:rPr>
          <w:sz w:val="18"/>
          <w:szCs w:val="18"/>
          <w:highlight w:val="none"/>
        </w:rPr>
        <w:t>Nanjing,</w:t>
      </w:r>
      <w:r>
        <w:rPr>
          <w:rFonts w:hint="eastAsia"/>
          <w:sz w:val="18"/>
          <w:szCs w:val="18"/>
          <w:highlight w:val="none"/>
          <w:lang w:val="en-US" w:eastAsia="zh-CN"/>
        </w:rPr>
        <w:t xml:space="preserve"> </w:t>
      </w:r>
      <w:r>
        <w:rPr>
          <w:sz w:val="18"/>
          <w:szCs w:val="18"/>
          <w:highlight w:val="none"/>
        </w:rPr>
        <w:t>210012,</w:t>
      </w:r>
      <w:r>
        <w:rPr>
          <w:rFonts w:hint="eastAsia"/>
          <w:sz w:val="18"/>
          <w:szCs w:val="18"/>
          <w:highlight w:val="none"/>
          <w:lang w:val="en-US" w:eastAsia="zh-CN"/>
        </w:rPr>
        <w:t xml:space="preserve"> </w:t>
      </w:r>
      <w:r>
        <w:rPr>
          <w:sz w:val="18"/>
          <w:szCs w:val="18"/>
          <w:highlight w:val="none"/>
        </w:rPr>
        <w:t>China; 2.</w:t>
      </w:r>
      <w:r>
        <w:rPr>
          <w:rFonts w:hint="eastAsia"/>
          <w:sz w:val="18"/>
          <w:szCs w:val="18"/>
          <w:highlight w:val="none"/>
          <w:lang w:val="en-US" w:eastAsia="zh-CN"/>
        </w:rPr>
        <w:t xml:space="preserve"> </w:t>
      </w:r>
      <w:r>
        <w:rPr>
          <w:sz w:val="18"/>
          <w:szCs w:val="18"/>
          <w:highlight w:val="none"/>
        </w:rPr>
        <w:t>Jiangsu Province Engineering Research Center of Intelligent and Green Railway,</w:t>
      </w:r>
      <w:r>
        <w:rPr>
          <w:rFonts w:hint="eastAsia"/>
          <w:sz w:val="18"/>
          <w:szCs w:val="18"/>
          <w:highlight w:val="none"/>
          <w:lang w:val="en-US" w:eastAsia="zh-CN"/>
        </w:rPr>
        <w:t xml:space="preserve"> </w:t>
      </w:r>
      <w:r>
        <w:rPr>
          <w:sz w:val="18"/>
          <w:szCs w:val="18"/>
          <w:highlight w:val="none"/>
        </w:rPr>
        <w:t>210012,</w:t>
      </w:r>
      <w:r>
        <w:rPr>
          <w:rFonts w:hint="eastAsia"/>
          <w:sz w:val="18"/>
          <w:szCs w:val="18"/>
          <w:highlight w:val="none"/>
          <w:lang w:val="en-US" w:eastAsia="zh-CN"/>
        </w:rPr>
        <w:t xml:space="preserve"> </w:t>
      </w:r>
      <w:r>
        <w:rPr>
          <w:sz w:val="18"/>
          <w:szCs w:val="18"/>
          <w:highlight w:val="none"/>
        </w:rPr>
        <w:t xml:space="preserve">China; </w:t>
      </w:r>
      <w:r>
        <w:rPr>
          <w:rFonts w:hint="eastAsia"/>
          <w:sz w:val="18"/>
          <w:szCs w:val="18"/>
          <w:highlight w:val="none"/>
        </w:rPr>
        <w:t>3</w:t>
      </w:r>
      <w:r>
        <w:rPr>
          <w:sz w:val="18"/>
          <w:szCs w:val="18"/>
          <w:highlight w:val="none"/>
        </w:rPr>
        <w:t>.</w:t>
      </w:r>
      <w:r>
        <w:rPr>
          <w:rFonts w:hint="eastAsia"/>
          <w:sz w:val="18"/>
          <w:szCs w:val="18"/>
          <w:highlight w:val="none"/>
          <w:lang w:val="en-US" w:eastAsia="zh-CN"/>
        </w:rPr>
        <w:t xml:space="preserve"> </w:t>
      </w:r>
      <w:r>
        <w:rPr>
          <w:sz w:val="18"/>
          <w:szCs w:val="18"/>
          <w:highlight w:val="none"/>
        </w:rPr>
        <w:t>Institute of Automation</w:t>
      </w:r>
      <w:r>
        <w:rPr>
          <w:rFonts w:hint="eastAsia"/>
          <w:sz w:val="18"/>
          <w:szCs w:val="18"/>
          <w:highlight w:val="none"/>
          <w:lang w:val="en-US" w:eastAsia="zh-CN"/>
        </w:rPr>
        <w:t xml:space="preserve">, </w:t>
      </w:r>
      <w:r>
        <w:rPr>
          <w:sz w:val="18"/>
          <w:szCs w:val="18"/>
          <w:highlight w:val="none"/>
        </w:rPr>
        <w:t>Chinese Academy of Sciences,</w:t>
      </w:r>
      <w:r>
        <w:rPr>
          <w:rFonts w:hint="eastAsia"/>
          <w:sz w:val="18"/>
          <w:szCs w:val="18"/>
          <w:highlight w:val="none"/>
          <w:lang w:val="en-US" w:eastAsia="zh-CN"/>
        </w:rPr>
        <w:t xml:space="preserve"> </w:t>
      </w:r>
      <w:r>
        <w:rPr>
          <w:sz w:val="18"/>
          <w:szCs w:val="18"/>
          <w:highlight w:val="none"/>
        </w:rPr>
        <w:t>100190,</w:t>
      </w:r>
      <w:r>
        <w:rPr>
          <w:rFonts w:hint="eastAsia"/>
          <w:sz w:val="18"/>
          <w:szCs w:val="18"/>
          <w:highlight w:val="none"/>
          <w:lang w:val="en-US" w:eastAsia="zh-CN"/>
        </w:rPr>
        <w:t xml:space="preserve"> </w:t>
      </w:r>
      <w:r>
        <w:rPr>
          <w:sz w:val="18"/>
          <w:szCs w:val="18"/>
          <w:highlight w:val="none"/>
        </w:rPr>
        <w:t>Beijing;</w:t>
      </w:r>
      <w:r>
        <w:rPr>
          <w:rFonts w:hint="eastAsia"/>
          <w:sz w:val="18"/>
          <w:szCs w:val="18"/>
          <w:highlight w:val="none"/>
          <w:lang w:val="en-US" w:eastAsia="zh-CN"/>
        </w:rPr>
        <w:t xml:space="preserve"> </w:t>
      </w:r>
      <w:r>
        <w:rPr>
          <w:rFonts w:hint="eastAsia"/>
          <w:sz w:val="18"/>
          <w:szCs w:val="18"/>
          <w:highlight w:val="none"/>
        </w:rPr>
        <w:t>4</w:t>
      </w:r>
      <w:r>
        <w:rPr>
          <w:sz w:val="18"/>
          <w:szCs w:val="18"/>
          <w:highlight w:val="none"/>
        </w:rPr>
        <w:t>.</w:t>
      </w:r>
      <w:r>
        <w:rPr>
          <w:rFonts w:hint="eastAsia"/>
          <w:sz w:val="18"/>
          <w:szCs w:val="18"/>
          <w:highlight w:val="none"/>
          <w:lang w:val="en-US" w:eastAsia="zh-CN"/>
        </w:rPr>
        <w:t xml:space="preserve"> </w:t>
      </w:r>
      <w:r>
        <w:rPr>
          <w:sz w:val="18"/>
          <w:szCs w:val="18"/>
          <w:highlight w:val="none"/>
        </w:rPr>
        <w:t>Beijing Union University,</w:t>
      </w:r>
      <w:r>
        <w:rPr>
          <w:rFonts w:hint="eastAsia"/>
          <w:sz w:val="18"/>
          <w:szCs w:val="18"/>
          <w:highlight w:val="none"/>
          <w:lang w:val="en-US" w:eastAsia="zh-CN"/>
        </w:rPr>
        <w:t xml:space="preserve"> </w:t>
      </w:r>
      <w:r>
        <w:rPr>
          <w:sz w:val="18"/>
          <w:szCs w:val="18"/>
          <w:highlight w:val="none"/>
        </w:rPr>
        <w:t>100101, BeiJing;</w:t>
      </w:r>
      <w:r>
        <w:rPr>
          <w:rFonts w:hint="eastAsia"/>
          <w:sz w:val="18"/>
          <w:szCs w:val="18"/>
          <w:highlight w:val="none"/>
          <w:lang w:val="en-US" w:eastAsia="zh-CN"/>
        </w:rPr>
        <w:t xml:space="preserve"> </w:t>
      </w:r>
      <w:r>
        <w:rPr>
          <w:sz w:val="18"/>
          <w:szCs w:val="18"/>
          <w:highlight w:val="none"/>
        </w:rPr>
        <w:t>5.</w:t>
      </w:r>
      <w:r>
        <w:rPr>
          <w:rFonts w:hint="eastAsia"/>
          <w:sz w:val="18"/>
          <w:szCs w:val="18"/>
          <w:highlight w:val="none"/>
          <w:lang w:val="en-US" w:eastAsia="zh-CN"/>
        </w:rPr>
        <w:t xml:space="preserve"> </w:t>
      </w:r>
      <w:r>
        <w:rPr>
          <w:rFonts w:hint="eastAsia"/>
          <w:sz w:val="18"/>
          <w:szCs w:val="18"/>
          <w:highlight w:val="none"/>
          <w:lang w:eastAsia="zh-CN"/>
        </w:rPr>
        <w:t>Beijing Jiaotong University,</w:t>
      </w:r>
      <w:r>
        <w:rPr>
          <w:rFonts w:hint="eastAsia"/>
          <w:sz w:val="18"/>
          <w:szCs w:val="18"/>
          <w:highlight w:val="none"/>
          <w:lang w:val="en-US" w:eastAsia="zh-CN"/>
        </w:rPr>
        <w:t xml:space="preserve"> </w:t>
      </w:r>
      <w:r>
        <w:rPr>
          <w:rFonts w:hint="eastAsia"/>
          <w:sz w:val="18"/>
          <w:szCs w:val="18"/>
          <w:highlight w:val="none"/>
          <w:lang w:eastAsia="zh-CN"/>
        </w:rPr>
        <w:t>100044, Beijing</w:t>
      </w:r>
      <w:r>
        <w:rPr>
          <w:sz w:val="18"/>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 xml:space="preserve">Abstract: </w:t>
      </w:r>
      <w:r>
        <w:rPr>
          <w:rFonts w:hint="eastAsia" w:ascii="Times New Roman" w:hAnsi="Times New Roman" w:eastAsia="宋体"/>
          <w:b w:val="0"/>
          <w:i w:val="0"/>
          <w:sz w:val="21"/>
          <w:highlight w:val="none"/>
        </w:rPr>
        <w:t xml:space="preserve">High-precision railway passenger flow forecasting is of great significance for passenger organization, capacity allocation, and intelligent dispatching. Railway passenger flow sequences exhibit multi-scale non-stationary characteristics, including short-term fluctuations, periodic variations, and anomalous disturbances. The daily granularity sequence can be approximated as </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X</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eastAsia" w:ascii="Times New Roman" w:hAnsi="Times New Roman" w:eastAsia="宋体"/>
          <w:b w:val="0"/>
          <w:i w:val="0"/>
          <w:sz w:val="21"/>
          <w:highlight w:val="none"/>
        </w:rPr>
        <w:t>. This paper proposes MoE-Rail, a framework that incorporates time series decomposition as expert inductive bias, constructing three types of heterogeneous experts—short-term dependency, long-term dependency, and statistical features—and adaptively fuses them using a context-aware gating mechanism with load balance constraints. Experiments on 877-day data from six railway hub stations show that the proposed method achieves a test-set MAPE of 19.41%, outperforming all baseline models and ablation variants. The STL-gating mechanism validation indicates a significant increase in the weight of the statistical expert during holidays. Moreover, the framework achieves an average MSE of 0.293 on the Traffic dataset, demonstrating its cross-domain generalization capability.</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4"/>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hint="default" w:ascii="Times New Roman" w:hAnsi="Times New Roman" w:eastAsia="宋体"/>
          <w:b w:val="0"/>
          <w:i w:val="0"/>
          <w:sz w:val="21"/>
          <w:szCs w:val="21"/>
          <w:highlight w:val="none"/>
        </w:rPr>
        <w:t>尽管如此，单一深度网络仍难以在统一参数空间内兼顾日内高频波动与中长期周期演化，铁路客流在非平稳、多模式叠加下更易出现多尺度优化冲突。从生成机制看，日粒度序列可近似表示为</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X</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，其中</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分别对应长期趋势、周期节律与随机扰动。</w:t>
      </w:r>
      <w:r>
        <w:rPr>
          <w:rFonts w:ascii="Times New Roman" w:hAnsi="Times New Roman" w:eastAsia="宋体"/>
          <w:b w:val="0"/>
          <w:i w:val="0"/>
          <w:sz w:val="21"/>
          <w:highlight w:val="none"/>
        </w:rPr>
        <w:t>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w:t>
      </w:r>
      <w:r>
        <w:rPr>
          <w:rFonts w:hint="default"/>
          <w:i/>
          <w:iCs/>
          <w:szCs w:val="21"/>
          <w:highlight w:val="none"/>
        </w:rPr>
        <w:t>T/S/R</w:t>
      </w:r>
      <w:r>
        <w:rPr>
          <w:rFonts w:ascii="Times New Roman" w:hAnsi="Times New Roman" w:eastAsia="宋体"/>
          <w:b w:val="0"/>
          <w:i w:val="0"/>
          <w:sz w:val="21"/>
          <w:highlight w:val="none"/>
        </w:rPr>
        <w:t>生成机制及节假日、星期等日历场景的可解释对齐，在枢纽高密度运行下仍难以稳定协调短期突发与中长期周期，易出现专家利用不均衡或分工失衡。</w:t>
      </w:r>
    </w:p>
    <w:p w14:paraId="521CB0F6">
      <w:pPr>
        <w:spacing w:line="360" w:lineRule="auto"/>
        <w:ind w:firstLine="420"/>
        <w:rPr>
          <w:rFonts w:hint="default"/>
          <w:szCs w:val="21"/>
          <w:highlight w:val="none"/>
        </w:rPr>
      </w:pPr>
      <w:r>
        <w:rPr>
          <w:rFonts w:hint="default" w:ascii="Times New Roman" w:hAnsi="Times New Roman" w:eastAsia="宋体"/>
          <w:b w:val="0"/>
          <w:i w:val="0"/>
          <w:sz w:val="21"/>
          <w:szCs w:val="21"/>
          <w:highlight w:val="none"/>
        </w:rPr>
        <w:t>针对上述局限，本文提出分解引导的铁路客流混合专家预测框架</w:t>
      </w:r>
      <w:r>
        <w:rPr>
          <w:rFonts w:hint="eastAsia" w:ascii="Times New Roman" w:hAnsi="Times New Roman" w:eastAsia="宋体"/>
          <w:b w:val="0"/>
          <w:i w:val="0"/>
          <w:sz w:val="21"/>
          <w:szCs w:val="21"/>
          <w:highlight w:val="none"/>
          <w:lang w:eastAsia="zh-CN"/>
        </w:rPr>
        <w:t>MoE-Rail</w:t>
      </w:r>
      <w:r>
        <w:rPr>
          <w:rFonts w:hint="default" w:ascii="Times New Roman" w:hAnsi="Times New Roman" w:eastAsia="宋体"/>
          <w:b w:val="0"/>
          <w:i w:val="0"/>
          <w:sz w:val="21"/>
          <w:szCs w:val="21"/>
          <w:highlight w:val="none"/>
        </w:rPr>
        <w:t>，将时序分解</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X</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作为专家归纳偏置（非显式在线分解），并结合日历场景实现条件化专家融合。该方法围绕铁路客流多尺度演化机理，构建由短期依赖专家（GRU）、长期依赖专家（Transformer）与统计特征专家（分布统计 MLP）组成的异构专家体系：其中，短期依赖专家侧重刻画与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相关的局部高频波动与邻近时刻相关性；长期依赖专家侧重刻画与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相关的长期趋势与周期节律；统计特征专家侧重刻画与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相关的分布形态及节假日等扰动特征。在此基础上，设计场景感知门控网络，将历史窗口表示与日历场景嵌入</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节假日、星期及月份周期编码等）共同输入路由模块，实现工作日、周末与节假日条件下的自适应专家权重分配，并引入熵正则负载均衡缓解专家坍缩。通过上述设计，本文方法能够更有效地协调短期波动与长期模式的协同建模，提升铁路客流预测的准确性与可解释性，为高密度运行条件下的客运组织优化、运力调配和调度管理提供可靠支撑。</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30"/>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8"/>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hint="default" w:ascii="Times New Roman" w:hAnsi="Times New Roman" w:eastAsia="宋体"/>
          <w:b w:val="0"/>
          <w:i w:val="0"/>
          <w:sz w:val="21"/>
          <w:szCs w:val="21"/>
          <w:highlight w:val="none"/>
        </w:rPr>
        <w:t>日粒度铁路客流序列可近似表示为</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X</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r>
          <m:rPr/>
          <w:rPr>
            <w:rFonts w:hint="default" w:ascii="Cambria Math" w:hAnsi="Cambria Math" w:eastAsia="楷体_GB2312" w:cs="Times New Roman"/>
            <w:kern w:val="2"/>
            <w:sz w:val="24"/>
            <w:szCs w:val="20"/>
            <w:highlight w:val="none"/>
            <w:lang w:val="en-US" w:bidi="ar-SA"/>
          </w:rPr>
          <m:t>+</m:t>
        </m:r>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eastAsia" w:ascii="Times New Roman" w:hAnsi="Times New Roman" w:eastAsia="宋体"/>
          <w:b w:val="0"/>
          <w:i w:val="0"/>
          <w:sz w:val="21"/>
          <w:szCs w:val="21"/>
          <w:highlight w:val="none"/>
          <w:lang w:val="en-US" w:eastAsia="zh-CN"/>
        </w:rPr>
        <w:t>,</w:t>
      </w:r>
      <w:r>
        <w:rPr>
          <w:rFonts w:ascii="Times New Roman" w:hAnsi="Times New Roman" w:eastAsia="宋体"/>
          <w:b w:val="0"/>
          <w:i w:val="0"/>
          <w:sz w:val="21"/>
          <w:szCs w:val="21"/>
          <w:highlight w:val="none"/>
        </w:rPr>
        <w:t>其中</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ascii="Times New Roman" w:hAnsi="Times New Roman" w:eastAsia="宋体"/>
          <w:b w:val="0"/>
          <w:i w:val="0"/>
          <w:sz w:val="21"/>
          <w:szCs w:val="21"/>
          <w:highlight w:val="none"/>
        </w:rPr>
        <w:t>分别对应长期趋势、周期节律与随机扰动。本文不对序列进行显式在线分解，而是将短期依赖专家、长期依赖专家与统计特征专家分别作为与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ascii="Times New Roman" w:hAnsi="Times New Roman" w:eastAsia="宋体"/>
          <w:b w:val="0"/>
          <w:i w:val="0"/>
          <w:sz w:val="21"/>
          <w:szCs w:val="21"/>
          <w:highlight w:val="none"/>
        </w:rPr>
        <w:t>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b w:val="0"/>
          <w:i w:val="0"/>
          <w:sz w:val="21"/>
          <w:szCs w:val="21"/>
          <w:highlight w:val="none"/>
        </w:rPr>
        <w:t>为有效刻画铁路客流序列在不同时间尺度上的演化规律，本文提出</w:t>
      </w:r>
      <w:r>
        <w:rPr>
          <w:rFonts w:hint="eastAsia" w:ascii="Times New Roman" w:hAnsi="Times New Roman" w:eastAsia="宋体"/>
          <w:b w:val="0"/>
          <w:bCs/>
          <w:i w:val="0"/>
          <w:sz w:val="21"/>
          <w:szCs w:val="21"/>
          <w:highlight w:val="none"/>
          <w:lang w:eastAsia="zh-CN"/>
        </w:rPr>
        <w:t>MoE-Rail</w:t>
      </w:r>
      <w:r>
        <w:rPr>
          <w:rFonts w:ascii="Times New Roman" w:hAnsi="Times New Roman" w:eastAsia="宋体"/>
          <w:b w:val="0"/>
          <w:bCs/>
          <w:i w:val="0"/>
          <w:sz w:val="21"/>
          <w:szCs w:val="21"/>
          <w:highlight w:val="none"/>
        </w:rPr>
        <w:t>多专家协同预测模型。</w:t>
      </w:r>
      <w:r>
        <w:rPr>
          <w:rFonts w:ascii="Times New Roman" w:hAnsi="Times New Roman" w:eastAsia="宋体"/>
          <w:b w:val="0"/>
          <w:i w:val="0"/>
          <w:sz w:val="21"/>
          <w:szCs w:val="21"/>
          <w:highlight w:val="none"/>
        </w:rPr>
        <w:t>该模型基于Mixture-of-Experts框架构建，通过多个功能专门化专家网络对客流模式进行分解建模，并利用门控机制实现专家能力的自适应融合。整体结构如图1所示，</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模型集成三个功能专门化的专家网络模块，各专家分别聚焦于不同时间尺度下铁路客流序列的演化模式，包括短期依赖专家（ShortTermExpert）、长期依赖专家（LongTermExpert）和统计特征专家（StatisticExpert）</w:t>
      </w:r>
      <w:r>
        <w:rPr>
          <w:rFonts w:hint="eastAsia" w:ascii="Times New Roman" w:hAnsi="Times New Roman" w:eastAsia="宋体"/>
          <w:b w:val="0"/>
          <w:i w:val="0"/>
          <w:sz w:val="21"/>
          <w:szCs w:val="21"/>
          <w:highlight w:val="none"/>
          <w:lang w:eastAsia="zh-CN"/>
        </w:rPr>
        <w:t>，</w:t>
      </w:r>
      <w:r>
        <w:rPr>
          <w:rFonts w:ascii="Times New Roman" w:hAnsi="Times New Roman" w:eastAsia="宋体"/>
          <w:b w:val="0"/>
          <w:i w:val="0"/>
          <w:sz w:val="21"/>
          <w:szCs w:val="21"/>
          <w:highlight w:val="none"/>
        </w:rPr>
        <w:t>在分解引导框架下分别对应</w:t>
      </w:r>
      <w:r>
        <w:rPr>
          <w:rFonts w:hint="default" w:ascii="Times New Roman" w:hAnsi="Times New Roman" w:eastAsia="宋体"/>
          <w:b w:val="0"/>
          <w:i w:val="0"/>
          <w:sz w:val="21"/>
          <w:szCs w:val="21"/>
          <w:highlight w:val="none"/>
        </w:rPr>
        <w:t> </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eastAsia" w:ascii="Times New Roman" w:hAnsi="Times New Roman" w:eastAsia="宋体"/>
          <w:b w:val="0"/>
          <w:i w:val="0"/>
          <w:sz w:val="21"/>
          <w:szCs w:val="21"/>
          <w:highlight w:val="none"/>
          <w:lang w:val="en-US" w:eastAsia="zh-CN"/>
        </w:rPr>
        <w:t>和</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szCs w:val="21"/>
          <w:highlight w:val="none"/>
        </w:rPr>
        <w:t>相关模式。</w:t>
      </w:r>
      <w:r>
        <w:rPr>
          <w:rFonts w:ascii="Times New Roman" w:hAnsi="Times New Roman" w:eastAsia="宋体"/>
          <w:b w:val="0"/>
          <w:i w:val="0"/>
          <w:sz w:val="21"/>
          <w:szCs w:val="21"/>
          <w:highlight w:val="none"/>
        </w:rPr>
        <w:t>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宋体"/>
          <w:color w:val="000000"/>
          <w:sz w:val="18"/>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（3）统计特征专家（StatisticExpert）</w:t>
      </w:r>
    </w:p>
    <w:p w14:paraId="1774DE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运行环境中，铁路客流还可能受到突发事件、极端天气或大型活动等不确定因素影响[16-18]，表现出明显的异常波动特征。在此情形下，仅依赖时序依赖关系进行建模往往难以获得稳定预测结果，因此有必要从整体统计分布角度对客流序列进行补充刻画。</w:t>
      </w:r>
    </w:p>
    <w:p w14:paraId="5F458698">
      <w:pPr>
        <w:spacing w:line="360" w:lineRule="auto"/>
        <w:ind w:firstLine="420"/>
        <w:rPr>
          <w:szCs w:val="21"/>
          <w:highlight w:val="none"/>
        </w:rPr>
      </w:pPr>
      <w:r>
        <w:rPr>
          <w:rFonts w:ascii="Times New Roman" w:hAnsi="Times New Roman" w:eastAsia="宋体"/>
          <w:b w:val="0"/>
          <w:i w:val="0"/>
          <w:sz w:val="21"/>
          <w:szCs w:val="21"/>
          <w:highlight w:val="none"/>
        </w:rPr>
        <w:t>基于上述考虑，本文设计统计特征专家模块，</w:t>
      </w:r>
      <w:r>
        <w:rPr>
          <w:rFonts w:hint="eastAsia" w:ascii="Times New Roman" w:hAnsi="Times New Roman" w:eastAsia="宋体" w:cs="宋体"/>
          <w:b w:val="0"/>
          <w:i w:val="0"/>
          <w:iCs w:val="0"/>
          <w:caps w:val="0"/>
          <w:color w:val="000000"/>
          <w:spacing w:val="0"/>
          <w:kern w:val="2"/>
          <w:sz w:val="21"/>
          <w:szCs w:val="21"/>
          <w:highlight w:val="none"/>
          <w:shd w:val="clear" w:fill="FFFFFF"/>
          <w:lang w:val="en-US" w:eastAsia="zh-CN" w:bidi="ar-SA"/>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相关的分布形态与异常波动，对回看窗口内各站点客流提取均值、标准差、最大值等统计特征（增强配置下可含偏度与分位数），拼接后经MLP非线性映射：</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，z为由μ,σ,max等组成的统计特征向量，</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oMath>
      <w:r>
        <w:rPr>
          <w:rFonts w:ascii="Times New Roman" w:hAnsi="Times New Roman" w:eastAsia="宋体"/>
          <w:b w:val="0"/>
          <w:i w:val="0"/>
          <w:sz w:val="21"/>
          <w:szCs w:val="21"/>
          <w:highlight w:val="none"/>
        </w:rPr>
        <w:t>表示统计特征专家（Statistic Expert）的输出结果，即基于统计特征对未来H个时间步铁路客流量的预测值。</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铁路客流预测任务中，不同时段与不同场景下的客流变化规律存在明显差异。例如，工作日早晚高峰阶段的客流变化更依赖短时动态信息，周末或节假日期间的客流演化则更受长期周期性规律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b w:val="0"/>
          <w:i w:val="0"/>
          <w:sz w:val="21"/>
          <w:szCs w:val="21"/>
          <w:highlight w:val="none"/>
        </w:rPr>
        <w:t>为提升模型对多场景客流模式的适应能力，本文引入</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场景感知门控网络</w:t>
      </w:r>
      <w:r>
        <w:rPr>
          <w:rFonts w:ascii="Times New Roman" w:hAnsi="Times New Roman" w:eastAsia="宋体"/>
          <w:b w:val="0"/>
          <w:i w:val="0"/>
          <w:sz w:val="21"/>
          <w:szCs w:val="21"/>
          <w:highlight w:val="none"/>
        </w:rPr>
        <w:t>（Gating Network），用于根据当前输入状态自适应地分配各专家模块的权重，从而实现对不同专家预测能力的动态调用与有效融合。该网络采用MLP结构，</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输入为历史窗口展平表示与日历场景向量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的拼接，以同时刻画近期客流演化与当前日历场景。</w:t>
      </w:r>
    </w:p>
    <w:p w14:paraId="5DB2FA8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门控网络包含两层MLP：第一层将输入特征维度映射到隐藏维度，经过GELU激活和Dropout后生成中间表示；第二层在此基础上进一步压缩至K维（其中K=3，对应三个专家模块），得到各专家的logits向量z。随后，利用Softmax函数对z进行归一化，得到权重概率向量g，其计算过程可形式化表示为：</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门控网络为场景自适应专家选择机制：工作日早高峰提升短期专家权重，周末/假期增加长期专家权重，异常模式下强化统计专家权重，动态聚合最优预测能力。</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门控实现日历场景驱动的专家路由：不同场景下三类专家权重分布存在差异</w:t>
      </w:r>
      <w:r>
        <w:rPr>
          <w:rFonts w:hint="eastAsia" w:ascii="Times New Roman" w:hAnsi="Times New Roman" w:eastAsia="宋体" w:cs="宋体"/>
          <w:b w:val="0"/>
          <w:i w:val="0"/>
          <w:iCs w:val="0"/>
          <w:caps w:val="0"/>
          <w:color w:val="000000"/>
          <w:spacing w:val="0"/>
          <w:kern w:val="2"/>
          <w:sz w:val="21"/>
          <w:szCs w:val="21"/>
          <w:highlight w:val="none"/>
          <w:shd w:val="clear" w:fill="FFFFFF"/>
          <w:lang w:val="en-US" w:eastAsia="zh-CN" w:bidi="ar-SA"/>
        </w:rPr>
        <w:t>。</w:t>
      </w:r>
      <w:r>
        <w:rPr>
          <w:rFonts w:ascii="Times New Roman" w:hAnsi="Times New Roman" w:eastAsia="宋体"/>
          <w:b w:val="0"/>
          <w:i w:val="0"/>
          <w:sz w:val="21"/>
          <w:szCs w:val="21"/>
          <w:highlight w:val="none"/>
        </w:rPr>
        <w:t>模型的最终预测结果通过对各专家网络输出进行加权求和得到，其形式化表达为：</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oMath>
      <w:r>
        <w:rPr>
          <w:rFonts w:ascii="Times New Roman" w:hAnsi="Times New Roman" w:eastAsia="宋体"/>
          <w:b w:val="0"/>
          <w:i w:val="0"/>
          <w:sz w:val="21"/>
          <w:szCs w:val="21"/>
          <w:highlight w:val="none"/>
        </w:rPr>
        <w:t>表示模型的最终预测输出，</w:t>
      </w:r>
      <m:oMath>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X</m:t>
        </m:r>
        <m:r>
          <m:rPr/>
          <w:rPr>
            <w:rFonts w:ascii="Cambria Math" w:hAnsi="Cambria Math"/>
            <w:highlight w:val="none"/>
          </w:rPr>
          <m:t>)</m:t>
        </m:r>
      </m:oMath>
      <w:r>
        <w:rPr>
          <w:rFonts w:ascii="Times New Roman" w:hAnsi="Times New Roman" w:eastAsia="宋体"/>
          <w:b w:val="0"/>
          <w:i w:val="0"/>
          <w:sz w:val="21"/>
          <w:szCs w:val="21"/>
          <w:highlight w:val="none"/>
        </w:rPr>
        <w:t>为第k个专家网络对输入序列</w:t>
      </w:r>
      <m:oMath>
        <m:r>
          <m:rPr>
            <m:sty m:val="p"/>
          </m:rPr>
          <w:rPr>
            <w:rFonts w:ascii="Cambria Math" w:hAnsi="Cambria Math"/>
            <w:highlight w:val="none"/>
          </w:rPr>
          <m:t>X</m:t>
        </m:r>
      </m:oMath>
      <w:r>
        <w:rPr>
          <w:rFonts w:ascii="Times New Roman" w:hAnsi="Times New Roman" w:eastAsia="宋体"/>
          <w:b w:val="0"/>
          <w:i w:val="0"/>
          <w:sz w:val="21"/>
          <w:szCs w:val="21"/>
          <w:highlight w:val="none"/>
        </w:rPr>
        <w:t>给出的预测结果，</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为分配给第k个专家的权重系数，K为专家网络总数。</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该机制整合短期依赖专家（局部周期与短程依赖）、长期依赖专家（跨周/跨月趋势）、统计特征专家（分布扰动与异常），实现对铁路客流多尺度模式的协同预测。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30"/>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本研究采用某铁路枢纽站及沿线5个站点的真实运营数据（6个空间节点），时间跨度2023年1月1日至2025年5月26日（877 天），日粒度记录进出站客流与断面客流。数据覆盖工作日、周末、节假日等典型模式，客流序列呈多周期叠加与强非平稳性。基于时间戳提取时间周期性特征（是否为节假日、星期几、月份等），通过三角函数编码转化为模型输入。</w:t>
      </w:r>
    </w:p>
    <w:p w14:paraId="17138274">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避免未来信息泄露，严格按时间顺序划分数据：前50%（438天）作为训练集，中间25%（219天）作为验证集，后25%（220天）作为测试集。该划分方式符合时间序列预测基本范式，能够检验模型在真实部署环境中的泛化能力。</w:t>
      </w:r>
    </w:p>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为了全面验证所提的MoE-Rail模型的性能，我们选取了如下的6个具有代表性基线作为对比方法，包括：1) 历史平均值(HA)；2) 随机森林(RF)；3) 前馈神经网络(FNN)；4) 全连接门控循环单元(FCGRU)；5) 向量自回归(VAR)；6) TSMixer[19]；7）基于多元变量的混合专家模型（MoE-Rail）。</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MoE-Rail的核心超参数为：历史窗口T=6天，预测窗口H=1天，隐藏特征维度512，专家数量3，批次大小64。优化器采用Adam（学习率1e-3，权重衰减1e-4），训练上限300个epoch，结合ReduceLROnPlateau学习率调度与早停机制。</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2.5  客流预测结果对比分析</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hint="default" w:ascii="Times New Roman" w:hAnsi="Times New Roman" w:eastAsia="宋体"/>
          <w:b w:val="0"/>
          <w:i w:val="0"/>
          <w:sz w:val="21"/>
          <w:szCs w:val="21"/>
          <w:highlight w:val="none"/>
          <w:lang w:val="en-US" w:eastAsia="zh-CN"/>
        </w:rPr>
        <w:t>图2对预测结果进行了图形化展示；表1汇总了MoE-Rail与6种代表性基线方法的性能对比。实验结果表明，MoE-Rail模型表现最优，MAPE为19.41%，为全部方法中最低，较FNN（33.80%）、TSMixer（38.17%）分别降低14.39、18.76个百分点。说明本文方法在铁路客流预测任务中具有更强的建模能力。</w:t>
      </w:r>
    </w:p>
    <w:p w14:paraId="3DDB617F">
      <w:pPr>
        <w:overflowPunct w:val="0"/>
        <w:autoSpaceDE w:val="0"/>
        <w:spacing w:line="360" w:lineRule="auto"/>
        <w:ind w:firstLine="420"/>
        <w:rPr>
          <w:szCs w:val="21"/>
          <w:highlight w:val="none"/>
        </w:rPr>
      </w:pPr>
      <w:r>
        <w:rPr>
          <w:rFonts w:hint="default" w:ascii="Times New Roman" w:hAnsi="Times New Roman" w:eastAsia="宋体"/>
          <w:b w:val="0"/>
          <w:i w:val="0"/>
          <w:sz w:val="21"/>
          <w:szCs w:val="21"/>
          <w:highlight w:val="none"/>
          <w:lang w:val="en-US" w:eastAsia="zh-CN"/>
        </w:rPr>
        <w:t>MoE-Rail性能提升主要原因在于：在分解引导框架下，短期依赖、长期依赖与统计特征三类异构专家分别刻画与St、Tt、Rt相关的短期波动、长期周期性与统计分布特征</w:t>
      </w:r>
      <w:r>
        <w:rPr>
          <w:rFonts w:hint="eastAsia" w:ascii="Times New Roman" w:hAnsi="Times New Roman" w:eastAsia="宋体"/>
          <w:b w:val="0"/>
          <w:i w:val="0"/>
          <w:sz w:val="21"/>
          <w:szCs w:val="21"/>
          <w:highlight w:val="none"/>
          <w:lang w:val="en-US" w:eastAsia="zh-CN"/>
        </w:rPr>
        <w:t>，</w:t>
      </w:r>
      <w:r>
        <w:rPr>
          <w:rFonts w:hint="default" w:ascii="Times New Roman" w:hAnsi="Times New Roman" w:eastAsia="宋体"/>
          <w:b w:val="0"/>
          <w:i w:val="0"/>
          <w:sz w:val="21"/>
          <w:szCs w:val="21"/>
          <w:highlight w:val="none"/>
          <w:lang w:val="en-US" w:eastAsia="zh-CN"/>
        </w:rPr>
        <w:t>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从而增强模型的稳定性与泛化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sz w:val="18"/>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sz w:val="18"/>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sz w:val="18"/>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sz w:val="18"/>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sz w:val="18"/>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sz w:val="18"/>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sz w:val="18"/>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sz w:val="18"/>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sz w:val="18"/>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sz w:val="18"/>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sz w:val="18"/>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sz w:val="18"/>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sz w:val="18"/>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sz w:val="18"/>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sz w:val="18"/>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sz w:val="18"/>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sz w:val="18"/>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sz w:val="18"/>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sz w:val="18"/>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sz w:val="18"/>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sz w:val="18"/>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sz w:val="18"/>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sz w:val="18"/>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sz w:val="18"/>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sz w:val="18"/>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sz w:val="18"/>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sz w:val="18"/>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sz w:val="18"/>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b/>
                <w:bCs/>
                <w:sz w:val="18"/>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b/>
                <w:bCs/>
                <w:sz w:val="18"/>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b/>
                <w:bCs/>
                <w:sz w:val="18"/>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b/>
                <w:bCs/>
                <w:sz w:val="18"/>
                <w:szCs w:val="18"/>
                <w:highlight w:val="none"/>
              </w:rPr>
              <w:t>19.41%</w:t>
            </w:r>
          </w:p>
        </w:tc>
      </w:tr>
    </w:tbl>
    <w:p w14:paraId="6D001112">
      <w:pPr>
        <w:overflowPunct w:val="0"/>
        <w:autoSpaceDE w:val="0"/>
        <w:spacing w:line="314" w:lineRule="exact"/>
        <w:rPr>
          <w:szCs w:val="21"/>
          <w:highlight w:val="none"/>
        </w:rPr>
      </w:pPr>
      <w:r>
        <w:rPr>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hint="default" w:ascii="Times New Roman" w:hAnsi="Times New Roman" w:eastAsia="宋体"/>
          <w:b w:val="0"/>
          <w:i w:val="0"/>
          <w:sz w:val="21"/>
          <w:szCs w:val="21"/>
          <w:highlight w:val="none"/>
          <w:lang w:val="en-US" w:eastAsia="zh-CN"/>
        </w:rPr>
        <w:t>由图2可见，MoE-Rail在峰值与低谷时段均更贴近真实客流，尤其在节假日等强波动区间跟踪误差更小，与表1中MAPE=19.41%的定量结论一致。</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实验结果如表2所示，完整模型MAPE为 19.41%，显著低于所有消融变体的误差值。短期依赖专家贡献最大（移除后MAPE升至20.69%），长期依赖专家次之（移除后MAPE升至20.30%），统计特征专家提供稳定性（移除后MAPE升至 20.01%）。这一结果有力证明了三个专家模块的协同互补性，缺一不可。</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sz w:val="18"/>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sz w:val="18"/>
                <w:szCs w:val="18"/>
                <w:highlight w:val="none"/>
              </w:rPr>
              <w:t>移除的专家</w:t>
            </w:r>
            <w:r>
              <w:rPr>
                <w:rFonts w:hint="eastAsia"/>
                <w:sz w:val="18"/>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sz w:val="18"/>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sz w:val="18"/>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sz w:val="18"/>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Times New Roman" w:cs="Times New Roman"/>
                <w:i w:val="0"/>
                <w:iCs w:val="0"/>
                <w:caps w:val="0"/>
                <w:color w:val="000000"/>
                <w:spacing w:val="0"/>
                <w:sz w:val="25"/>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sz w:val="18"/>
                <w:szCs w:val="18"/>
                <w:highlight w:val="none"/>
                <w:lang w:eastAsia="zh-CN"/>
              </w:rPr>
              <w:t>MoE-Rail</w:t>
            </w:r>
            <w:r>
              <w:rPr>
                <w:sz w:val="18"/>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sz w:val="18"/>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sz w:val="18"/>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sz w:val="18"/>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sz w:val="18"/>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Segoe UI" w:hAnsi="Segoe UI" w:eastAsia="Segoe UI" w:cs="Segoe UI"/>
                <w:i w:val="0"/>
                <w:iCs w:val="0"/>
                <w:caps w:val="0"/>
                <w:color w:val="000000"/>
                <w:spacing w:val="0"/>
                <w:sz w:val="21"/>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18CD88E3">
            <w:pPr>
              <w:spacing w:line="240" w:lineRule="exact"/>
              <w:jc w:val="center"/>
              <w:rPr>
                <w:sz w:val="18"/>
                <w:szCs w:val="18"/>
                <w:highlight w:val="none"/>
              </w:rPr>
            </w:pPr>
            <w:r>
              <w:rPr>
                <w:rFonts w:hint="eastAsia"/>
                <w:sz w:val="18"/>
                <w:szCs w:val="18"/>
                <w:highlight w:val="none"/>
                <w:lang w:eastAsia="zh-CN"/>
              </w:rPr>
              <w:t>MoE-Rail</w:t>
            </w:r>
            <w:r>
              <w:rPr>
                <w:sz w:val="18"/>
                <w:szCs w:val="18"/>
                <w:highlight w:val="none"/>
              </w:rPr>
              <w:t xml:space="preserve"> (w/o Statistic)</w:t>
            </w:r>
          </w:p>
        </w:tc>
        <w:tc>
          <w:tcPr>
            <w:tcW w:w="1003" w:type="pct"/>
            <w:tcBorders>
              <w:top w:val="nil"/>
              <w:left w:val="nil"/>
              <w:bottom w:val="nil"/>
              <w:right w:val="nil"/>
            </w:tcBorders>
            <w:vAlign w:val="center"/>
          </w:tcPr>
          <w:p w14:paraId="20091A06">
            <w:pPr>
              <w:spacing w:line="240" w:lineRule="exact"/>
              <w:jc w:val="center"/>
              <w:rPr>
                <w:sz w:val="18"/>
                <w:szCs w:val="18"/>
                <w:highlight w:val="none"/>
              </w:rPr>
            </w:pPr>
            <w:r>
              <w:rPr>
                <w:sz w:val="18"/>
                <w:szCs w:val="18"/>
                <w:highlight w:val="none"/>
              </w:rPr>
              <w:t>统计特征专家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sz w:val="18"/>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sz w:val="18"/>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sz w:val="18"/>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sz w:val="18"/>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sz w:val="18"/>
                <w:szCs w:val="18"/>
                <w:highlight w:val="none"/>
                <w:lang w:eastAsia="zh-CN"/>
              </w:rPr>
              <w:t>MoE-Rail</w:t>
            </w:r>
            <w:r>
              <w:rPr>
                <w:sz w:val="18"/>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sz w:val="18"/>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sz w:val="18"/>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sz w:val="18"/>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sz w:val="18"/>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sz w:val="18"/>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sz w:val="18"/>
                <w:szCs w:val="18"/>
                <w:highlight w:val="none"/>
                <w:lang w:eastAsia="zh-CN"/>
              </w:rPr>
              <w:t>MoE-Rail</w:t>
            </w:r>
            <w:r>
              <w:rPr>
                <w:sz w:val="18"/>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sz w:val="18"/>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sz w:val="18"/>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sz w:val="18"/>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sz w:val="18"/>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sz w:val="18"/>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8"/>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b w:val="0"/>
          <w:i w:val="0"/>
          <w:sz w:val="21"/>
          <w:highlight w:val="none"/>
        </w:rPr>
        <w:t>对测试集各站点客流序列执行STL分解（period=7），得到趋势项、季节项与残差项；同步记录MoE-Rail输出的长期、短期与统计特征专家门控权重。依据日历标签划分工作日、周末与节假日三类场景，计算各场景下门控权重样本均值；对节假日与工作日子集进行独立样本t检验（显著性水平α=0.01）。</w:t>
      </w:r>
      <w:r>
        <w:rPr>
          <w:rFonts w:hint="eastAsia" w:ascii="Times New Roman" w:hAnsi="Times New Roman" w:eastAsia="宋体"/>
          <w:b/>
          <w:i w:val="0"/>
          <w:sz w:val="24"/>
          <w:szCs w:val="24"/>
          <w:highlight w:val="none"/>
          <w:lang w:val="en-US" w:eastAsia="zh-CN"/>
        </w:rPr>
        <w:t>2.7.2  日历场景下的门控权重统计</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sz w:val="18"/>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sz w:val="18"/>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sz w:val="18"/>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sz w:val="18"/>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690CED1">
            <w:pPr>
              <w:spacing w:line="240" w:lineRule="exact"/>
              <w:jc w:val="center"/>
              <w:rPr>
                <w:rFonts w:hint="default"/>
                <w:sz w:val="18"/>
                <w:szCs w:val="18"/>
                <w:highlight w:val="none"/>
              </w:rPr>
            </w:pPr>
            <w:r>
              <w:rPr>
                <w:rFonts w:hint="default"/>
                <w:sz w:val="18"/>
                <w:szCs w:val="18"/>
                <w:highlight w:val="none"/>
                <w:lang w:val="en-US" w:eastAsia="zh-CN"/>
              </w:rPr>
              <w:t>统计专家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sz w:val="18"/>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sz w:val="18"/>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sz w:val="18"/>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sz w:val="18"/>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sz w:val="18"/>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sz w:val="18"/>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sz w:val="18"/>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sz w:val="18"/>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sz w:val="18"/>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sz w:val="18"/>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sz w:val="18"/>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b/>
                <w:bCs/>
                <w:sz w:val="18"/>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b w:val="0"/>
          <w:i w:val="0"/>
          <w:sz w:val="21"/>
          <w:highlight w:val="none"/>
        </w:rPr>
        <w:t>由表3可知，工作日长期专家权重为0.6237，高于统计特征专家的0.2910，表明常规模型推理主要依赖趋势性成分；节假日统计特征专家权重升至0.4398，长期专家权重降至0.3847，路由结构发生逆转。周末样本量有限，但统计特征专家均值（0.3897）亦高于工作日，变化方向与节假日一致。</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b/>
          <w:i w:val="0"/>
          <w:sz w:val="21"/>
          <w:highlight w:val="none"/>
        </w:rPr>
        <w:t>表4   节假日 vs 工作日统计特征专家门控权重t检验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b/>
                <w:sz w:val="18"/>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b/>
                <w:sz w:val="18"/>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b/>
                <w:sz w:val="18"/>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b/>
                <w:sz w:val="18"/>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b/>
                <w:sz w:val="18"/>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48A5D0A">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统计特征专家权重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sz w:val="18"/>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b w:val="0"/>
          <w:i w:val="0"/>
          <w:sz w:val="21"/>
          <w:highlight w:val="none"/>
        </w:rPr>
        <w:t>表4显示，节假日统计特征专家权重均值（0.4398）显著高于工作日（0.2910），t=2.771，p=0.0065&lt;0.01，在α=0.01水平下拒绝两总体均值无差异的原假设。该结果表明，统计特征专家在节假日场景下的权重抬升具有统计显著性。</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4"/>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b w:val="0"/>
          <w:i w:val="0"/>
          <w:sz w:val="21"/>
          <w:highlight w:val="none"/>
        </w:rPr>
        <w:t>由图3可见，节假日样本中统计特征专家权重的中位数与上四分位均高于工作日，且分布跨度更大；长期专家权重在节假日整体下移，与工作日的集中高权重形成对照。该分布级证据与表3一致，表明门控路由的场景调整具有群体一致性。</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4"/>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b w:val="0"/>
          <w:i w:val="0"/>
          <w:sz w:val="21"/>
          <w:highlight w:val="none"/>
        </w:rPr>
        <w:t>图4表明，当残差项振幅增大、客流出现非典型抬升或回落时，统计特征专家权重同步升高；在趋势项相对平滑的区段，长期专家权重占据主导。该时序对齐关系从个案层面补充了表3-表4的群体统计结论。</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b w:val="0"/>
          <w:i w:val="0"/>
          <w:sz w:val="21"/>
          <w:highlight w:val="none"/>
        </w:rPr>
        <w:t>综上，节假日窗口统计特征专家权重的系统性升高，与残差项</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R</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ascii="Times New Roman" w:hAnsi="Times New Roman" w:eastAsia="宋体"/>
          <w:b w:val="0"/>
          <w:i w:val="0"/>
          <w:sz w:val="21"/>
          <w:highlight w:val="none"/>
        </w:rPr>
        <w:t>吸收事件扰动、并由统计特征专家专门建模非典型波动的机制相一致，从假设检验、分布可视化与时序对齐三个维度支持了分解引导的专家分工设计。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8"/>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为评估模型泛化能力，在</w:t>
      </w:r>
      <w:r>
        <w:rPr>
          <w:rFonts w:hint="default" w:ascii="Times New Roman" w:hAnsi="Times New Roman" w:eastAsia="宋体" w:cs="Times New Roman"/>
          <w:b w:val="0"/>
          <w:i w:val="0"/>
          <w:sz w:val="21"/>
          <w:szCs w:val="20"/>
          <w:highlight w:val="none"/>
        </w:rPr>
        <w:t>Traffic公开数据集</w:t>
      </w:r>
      <w:r>
        <w:rPr>
          <w:rFonts w:ascii="Times New Roman" w:hAnsi="Times New Roman" w:eastAsia="宋体"/>
          <w:b w:val="0"/>
          <w:i w:val="0"/>
          <w:sz w:val="21"/>
          <w:szCs w:val="21"/>
          <w:highlight w:val="none"/>
        </w:rPr>
        <w:t>（美国旧金山湾区高速公路小时级交通流量）上</w:t>
      </w:r>
      <w:r>
        <w:rPr>
          <w:rFonts w:ascii="Times New Roman" w:hAnsi="Times New Roman" w:eastAsia="宋体"/>
          <w:b w:val="0"/>
          <w:i w:val="0"/>
          <w:sz w:val="21"/>
          <w:highlight w:val="none"/>
        </w:rPr>
        <w:t>开展独立验证</w:t>
      </w:r>
      <w:r>
        <w:rPr>
          <w:rFonts w:ascii="Times New Roman" w:hAnsi="Times New Roman" w:eastAsia="宋体"/>
          <w:b w:val="0"/>
          <w:i w:val="0"/>
          <w:sz w:val="21"/>
          <w:szCs w:val="21"/>
          <w:highlight w:val="none"/>
        </w:rPr>
        <w:t>。与铁路站日粒度数据不同，</w:t>
      </w:r>
      <w:r>
        <w:rPr>
          <w:rFonts w:hint="default" w:ascii="Times New Roman" w:hAnsi="Times New Roman" w:eastAsia="宋体" w:cs="Times New Roman"/>
          <w:b w:val="0"/>
          <w:i w:val="0"/>
          <w:sz w:val="21"/>
          <w:szCs w:val="20"/>
          <w:highlight w:val="none"/>
        </w:rPr>
        <w:t>Traffic</w:t>
      </w:r>
      <w:r>
        <w:rPr>
          <w:rFonts w:ascii="Times New Roman" w:hAnsi="Times New Roman" w:eastAsia="宋体"/>
          <w:b w:val="0"/>
          <w:i w:val="0"/>
          <w:sz w:val="21"/>
          <w:szCs w:val="21"/>
          <w:highlight w:val="none"/>
        </w:rPr>
        <w:t>数据集具有更高时间分辨率（小时级vs.日级）和不同物理意义（道路车辆占用率vs.铁路旅客数量）</w:t>
      </w:r>
      <w:r>
        <w:rPr>
          <w:rFonts w:hint="default" w:ascii="Times New Roman" w:hAnsi="Times New Roman" w:eastAsia="宋体" w:cs="Times New Roman"/>
          <w:b w:val="0"/>
          <w:i w:val="0"/>
          <w:sz w:val="21"/>
          <w:szCs w:val="20"/>
          <w:highlight w:val="none"/>
        </w:rPr>
        <w:t>，可用于检验MoE-Rail架构对通用时序规律的迁移能力。</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表5汇总四个预测步长下各方法测试结果的平均值，用以评估MoE-Rail的跨域泛化性能。</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21"/>
                <w:highlight w:val="none"/>
              </w:rPr>
              <w:t>方法</w:t>
            </w:r>
          </w:p>
        </w:tc>
        <w:tc>
          <w:tcPr>
            <w:tcW w:w="3137" w:type="dxa"/>
          </w:tcPr>
          <w:p w14:paraId="1B083FA3">
            <w:pPr>
              <w:jc w:val="center"/>
              <w:rPr>
                <w:highlight w:val="none"/>
              </w:rPr>
            </w:pPr>
            <w:r>
              <w:rPr>
                <w:rFonts w:ascii="Times New Roman" w:hAnsi="Times New Roman" w:eastAsia="宋体"/>
                <w:b/>
                <w:i w:val="0"/>
                <w:sz w:val="21"/>
                <w:highlight w:val="none"/>
              </w:rPr>
              <w:t>MSE</w:t>
            </w:r>
          </w:p>
        </w:tc>
        <w:tc>
          <w:tcPr>
            <w:tcW w:w="3137" w:type="dxa"/>
          </w:tcPr>
          <w:p w14:paraId="27C25351">
            <w:pPr>
              <w:jc w:val="center"/>
              <w:rPr>
                <w:highlight w:val="none"/>
              </w:rPr>
            </w:pPr>
            <w:r>
              <w:rPr>
                <w:rFonts w:ascii="Times New Roman" w:hAnsi="Times New Roman" w:eastAsia="宋体"/>
                <w:b/>
                <w:i w:val="0"/>
                <w:sz w:val="21"/>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21"/>
                <w:highlight w:val="none"/>
              </w:rPr>
              <w:t>PatchTST</w:t>
            </w:r>
          </w:p>
        </w:tc>
        <w:tc>
          <w:tcPr>
            <w:tcW w:w="3137" w:type="dxa"/>
          </w:tcPr>
          <w:p w14:paraId="46E3C171">
            <w:pPr>
              <w:jc w:val="center"/>
              <w:rPr>
                <w:highlight w:val="none"/>
              </w:rPr>
            </w:pPr>
            <w:r>
              <w:rPr>
                <w:rFonts w:ascii="Times New Roman" w:hAnsi="Times New Roman" w:eastAsia="宋体"/>
                <w:b w:val="0"/>
                <w:i w:val="0"/>
                <w:sz w:val="21"/>
                <w:highlight w:val="none"/>
              </w:rPr>
              <w:t>0.531</w:t>
            </w:r>
          </w:p>
        </w:tc>
        <w:tc>
          <w:tcPr>
            <w:tcW w:w="3137" w:type="dxa"/>
          </w:tcPr>
          <w:p w14:paraId="6E729961">
            <w:pPr>
              <w:jc w:val="center"/>
              <w:rPr>
                <w:highlight w:val="none"/>
              </w:rPr>
            </w:pPr>
            <w:r>
              <w:rPr>
                <w:rFonts w:ascii="Times New Roman" w:hAnsi="Times New Roman" w:eastAsia="宋体"/>
                <w:b w:val="0"/>
                <w:i w:val="0"/>
                <w:sz w:val="21"/>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21"/>
                <w:highlight w:val="none"/>
              </w:rPr>
              <w:t>TimeMixer</w:t>
            </w:r>
          </w:p>
        </w:tc>
        <w:tc>
          <w:tcPr>
            <w:tcW w:w="3137" w:type="dxa"/>
          </w:tcPr>
          <w:p w14:paraId="7BD049B9">
            <w:pPr>
              <w:jc w:val="center"/>
              <w:rPr>
                <w:highlight w:val="none"/>
              </w:rPr>
            </w:pPr>
            <w:r>
              <w:rPr>
                <w:rFonts w:ascii="Times New Roman" w:hAnsi="Times New Roman" w:eastAsia="宋体"/>
                <w:b w:val="0"/>
                <w:i w:val="0"/>
                <w:sz w:val="21"/>
                <w:highlight w:val="none"/>
              </w:rPr>
              <w:t>0.484</w:t>
            </w:r>
          </w:p>
        </w:tc>
        <w:tc>
          <w:tcPr>
            <w:tcW w:w="3137" w:type="dxa"/>
          </w:tcPr>
          <w:p w14:paraId="022082B4">
            <w:pPr>
              <w:jc w:val="center"/>
              <w:rPr>
                <w:highlight w:val="none"/>
              </w:rPr>
            </w:pPr>
            <w:r>
              <w:rPr>
                <w:rFonts w:ascii="Times New Roman" w:hAnsi="Times New Roman" w:eastAsia="宋体"/>
                <w:b w:val="0"/>
                <w:i w:val="0"/>
                <w:sz w:val="21"/>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21"/>
                <w:highlight w:val="none"/>
              </w:rPr>
              <w:t>iTransformer</w:t>
            </w:r>
          </w:p>
        </w:tc>
        <w:tc>
          <w:tcPr>
            <w:tcW w:w="3137" w:type="dxa"/>
          </w:tcPr>
          <w:p w14:paraId="21538CE5">
            <w:pPr>
              <w:jc w:val="center"/>
              <w:rPr>
                <w:highlight w:val="none"/>
              </w:rPr>
            </w:pPr>
            <w:r>
              <w:rPr>
                <w:rFonts w:ascii="Times New Roman" w:hAnsi="Times New Roman" w:eastAsia="宋体"/>
                <w:b w:val="0"/>
                <w:i w:val="0"/>
                <w:sz w:val="21"/>
                <w:highlight w:val="none"/>
              </w:rPr>
              <w:t>0.428</w:t>
            </w:r>
          </w:p>
        </w:tc>
        <w:tc>
          <w:tcPr>
            <w:tcW w:w="3137" w:type="dxa"/>
          </w:tcPr>
          <w:p w14:paraId="45328038">
            <w:pPr>
              <w:jc w:val="center"/>
              <w:rPr>
                <w:highlight w:val="none"/>
              </w:rPr>
            </w:pPr>
            <w:r>
              <w:rPr>
                <w:rFonts w:ascii="Times New Roman" w:hAnsi="Times New Roman" w:eastAsia="宋体"/>
                <w:b w:val="0"/>
                <w:i w:val="0"/>
                <w:sz w:val="21"/>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21"/>
                <w:highlight w:val="none"/>
              </w:rPr>
              <w:t>FreEformer</w:t>
            </w:r>
          </w:p>
        </w:tc>
        <w:tc>
          <w:tcPr>
            <w:tcW w:w="3137" w:type="dxa"/>
          </w:tcPr>
          <w:p w14:paraId="6AD03D2E">
            <w:pPr>
              <w:jc w:val="center"/>
              <w:rPr>
                <w:highlight w:val="none"/>
              </w:rPr>
            </w:pPr>
            <w:r>
              <w:rPr>
                <w:rFonts w:ascii="Times New Roman" w:hAnsi="Times New Roman" w:eastAsia="宋体"/>
                <w:b w:val="0"/>
                <w:i w:val="0"/>
                <w:sz w:val="21"/>
                <w:highlight w:val="none"/>
              </w:rPr>
              <w:t>0.433</w:t>
            </w:r>
          </w:p>
        </w:tc>
        <w:tc>
          <w:tcPr>
            <w:tcW w:w="3137" w:type="dxa"/>
          </w:tcPr>
          <w:p w14:paraId="687916DE">
            <w:pPr>
              <w:jc w:val="center"/>
              <w:rPr>
                <w:highlight w:val="none"/>
              </w:rPr>
            </w:pPr>
            <w:r>
              <w:rPr>
                <w:rFonts w:ascii="Times New Roman" w:hAnsi="Times New Roman" w:eastAsia="宋体"/>
                <w:b w:val="0"/>
                <w:i w:val="0"/>
                <w:sz w:val="21"/>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21"/>
                <w:highlight w:val="none"/>
              </w:rPr>
              <w:t>MoE-Rail</w:t>
            </w:r>
          </w:p>
        </w:tc>
        <w:tc>
          <w:tcPr>
            <w:tcW w:w="3137" w:type="dxa"/>
          </w:tcPr>
          <w:p w14:paraId="2116B9E4">
            <w:pPr>
              <w:jc w:val="center"/>
              <w:rPr>
                <w:highlight w:val="none"/>
              </w:rPr>
            </w:pPr>
            <w:r>
              <w:rPr>
                <w:rFonts w:ascii="Times New Roman" w:hAnsi="Times New Roman" w:eastAsia="宋体"/>
                <w:b w:val="0"/>
                <w:i w:val="0"/>
                <w:sz w:val="21"/>
                <w:highlight w:val="none"/>
              </w:rPr>
              <w:t>0.293</w:t>
            </w:r>
          </w:p>
        </w:tc>
        <w:tc>
          <w:tcPr>
            <w:tcW w:w="3137" w:type="dxa"/>
          </w:tcPr>
          <w:p w14:paraId="5CC31D90">
            <w:pPr>
              <w:jc w:val="center"/>
              <w:rPr>
                <w:highlight w:val="none"/>
              </w:rPr>
            </w:pPr>
            <w:r>
              <w:rPr>
                <w:rFonts w:ascii="Times New Roman" w:hAnsi="Times New Roman" w:eastAsia="宋体"/>
                <w:b w:val="0"/>
                <w:i w:val="0"/>
                <w:sz w:val="21"/>
                <w:highlight w:val="none"/>
              </w:rPr>
              <w:t>0.354</w:t>
            </w:r>
          </w:p>
        </w:tc>
      </w:tr>
    </w:tbl>
    <w:p w14:paraId="0E15C332">
      <w:pPr>
        <w:spacing w:before="0" w:after="0" w:line="360" w:lineRule="auto"/>
        <w:ind w:firstLine="420"/>
        <w:jc w:val="both"/>
        <w:rPr>
          <w:highlight w:val="none"/>
        </w:rPr>
      </w:pPr>
      <w:r>
        <w:rPr>
          <w:rFonts w:ascii="Times New Roman" w:hAnsi="Times New Roman" w:eastAsia="宋体"/>
          <w:b w:val="0"/>
          <w:i w:val="0"/>
          <w:sz w:val="21"/>
          <w:highlight w:val="none"/>
        </w:rPr>
        <w:t>由表5可见，MoE-Rail平均MSE为0.293，为各对比方法中最低，较PatchTST（0.531）降低44.8%；平均MAE为0.354。实验结果如图5所示。</w:t>
      </w:r>
    </w:p>
    <w:p w14:paraId="52649A9F">
      <w:pPr>
        <w:spacing w:before="0" w:after="0" w:line="360" w:lineRule="auto"/>
        <w:ind w:firstLine="420"/>
        <w:jc w:val="both"/>
        <w:rPr>
          <w:highlight w:val="none"/>
        </w:rPr>
      </w:pPr>
      <w:r>
        <w:rPr>
          <w:rFonts w:ascii="Times New Roman" w:hAnsi="Times New Roman" w:eastAsia="宋体"/>
          <w:b w:val="0"/>
          <w:i w:val="0"/>
          <w:sz w:val="21"/>
          <w:highlight w:val="none"/>
        </w:rPr>
        <w:t>图5进一步展示了各方法在Traffic数据集上的MSE/MAE对比，MoE-Rail在MSE维度保持明显优势，表明框架在非铁路场景仍</w:t>
      </w:r>
      <w:r>
        <w:rPr>
          <w:rFonts w:hint="eastAsia"/>
          <w:b w:val="0"/>
          <w:i w:val="0"/>
          <w:sz w:val="21"/>
          <w:highlight w:val="none"/>
          <w:lang w:eastAsia="zh-CN"/>
        </w:rPr>
        <w:t>具有</w:t>
      </w:r>
      <w:r>
        <w:rPr>
          <w:rFonts w:ascii="Times New Roman" w:hAnsi="Times New Roman" w:eastAsia="宋体"/>
          <w:b w:val="0"/>
          <w:i w:val="0"/>
          <w:sz w:val="21"/>
          <w:highlight w:val="none"/>
        </w:rPr>
        <w:t>适用性。</w:t>
      </w:r>
    </w:p>
    <w:p w14:paraId="7FACBC8D">
      <w:pPr>
        <w:keepNext/>
        <w:spacing w:before="120" w:beforeLines="50" w:line="312" w:lineRule="auto"/>
        <w:jc w:val="center"/>
        <w:rPr>
          <w:highlight w:val="none"/>
        </w:rPr>
      </w:pPr>
      <w:bookmarkStart w:id="0" w:name="OLE_LINK2"/>
      <w:r>
        <w:rPr>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b/>
          <w:i w:val="0"/>
          <w:sz w:val="30"/>
          <w:szCs w:val="30"/>
          <w:highlight w:val="none"/>
          <w:lang w:val="en-US" w:eastAsia="zh-CN"/>
        </w:rPr>
        <w:t xml:space="preserve"> </w:t>
      </w:r>
      <w:r>
        <w:rPr>
          <w:rFonts w:hint="eastAsia" w:ascii="Times New Roman" w:hAnsi="Times New Roman" w:eastAsia="宋体"/>
          <w:b/>
          <w:i w:val="0"/>
          <w:sz w:val="30"/>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b w:val="0"/>
          <w:i w:val="0"/>
          <w:sz w:val="21"/>
          <w:highlight w:val="none"/>
        </w:rPr>
        <w:t>针对铁路客流序列在不同场景下呈现出的短期波动、长期周期性和异常扰动等复杂特征，本文提出了MoE-Rail多专家融合预测模型。该模型通过短期依赖、长期依赖与统计特征三类专家实现多尺度分工建模，并结合场景感知门控与负载均衡约束实现专家权重自适应分配。真实数据实验结果表明，MoE-Rail在MAE、MSE和MAPE指标上均优于各基线模型，其中MAPE降至19.41%，说明所提出方法能够更有效地刻画铁路客流的复杂变化规律。研究表明，多专家融合框架在保持结构简洁的同时，能够显著提升预测性能，为后续更大规模线路网预测、多站点协同建模以及外部因素融合研究提供了可行基础，并可为高速铁路客运组织与运力配置优化提供参考。</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4"/>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b w:val="0"/>
          <w:i w:val="0"/>
          <w:sz w:val="21"/>
          <w:szCs w:val="18"/>
          <w:highlight w:val="none"/>
        </w:rPr>
        <w:t xml:space="preserve">[22] ZOU Y, CHEN Y, XU Y, et al. Short-term Freeway Traffic Speed Multistep Prediction Using an </w:t>
      </w:r>
      <w:r>
        <w:rPr>
          <w:rFonts w:hint="eastAsia" w:ascii="Times New Roman" w:hAnsi="Times New Roman" w:eastAsia="宋体"/>
          <w:b w:val="0"/>
          <w:i w:val="0"/>
          <w:sz w:val="21"/>
          <w:szCs w:val="18"/>
          <w:highlight w:val="none"/>
        </w:rPr>
        <w:t>iT</w:t>
      </w:r>
      <w:r>
        <w:rPr>
          <w:rFonts w:ascii="Times New Roman" w:hAnsi="Times New Roman" w:eastAsia="宋体"/>
          <w:b w:val="0"/>
          <w:i w:val="0"/>
          <w:sz w:val="21"/>
          <w:szCs w:val="18"/>
          <w:highlight w:val="none"/>
        </w:rPr>
        <w: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021" w:bottom="776" w:left="1474"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sectPr>
      <w:type w:val="continuous"/>
      <w:pgSz w:w="11906" w:h="16838"/>
      <w:pgMar w:top="1985" w:right="1021" w:bottom="776" w:left="1474"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