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在实际铁路运输场景中，客流序列在</w:t>
      </w:r>
      <w:r>
        <w:rPr>
          <w:rFonts w:hint="default" w:ascii="Times New Roman" w:hAnsi="Times New Roman" w:eastAsia="宋体"/>
          <w:b w:val="0"/>
          <w:i w:val="0"/>
          <w:sz w:val="21"/>
          <w:szCs w:val="21"/>
          <w:highlight w:val="none"/>
        </w:rPr>
        <w:t>日尺度及相邻时段</w:t>
      </w:r>
      <w:r>
        <w:rPr>
          <w:rFonts w:ascii="Times New Roman" w:hAnsi="Times New Roman" w:eastAsia="宋体"/>
          <w:b w:val="0"/>
          <w:i w:val="0"/>
          <w:sz w:val="21"/>
          <w:szCs w:val="21"/>
          <w:highlight w:val="none"/>
        </w:rPr>
        <w:t>常呈现出显著的高频动态波动特征。例如，通勤出行、列车集中到发以及站内换乘行为等因素，均可能导致客流在相邻时间步之间产生剧烈变化。这类局部快速演化模式具有明显的短时依赖性，使得传统仅关注长期趋势的预测模型难以准确刻画瞬时客流波动，从而影响预测精度。</w:t>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为有效建模上述短</w:t>
      </w:r>
      <w:r>
        <w:rPr>
          <w:rFonts w:hint="eastAsia" w:ascii="Times New Roman" w:hAnsi="Times New Roman" w:eastAsia="宋体" w:cs="宋体"/>
          <w:b w:val="0"/>
          <w:i w:val="0"/>
          <w:iCs w:val="0"/>
          <w:caps w:val="0"/>
          <w:color w:val="000000"/>
          <w:spacing w:val="0"/>
          <w:sz w:val="21"/>
          <w:szCs w:val="21"/>
          <w:highlight w:val="none"/>
          <w:shd w:val="clear" w:fill="FFFFFF"/>
        </w:rPr>
        <w:t>时动态特征，本文引入短期依赖专家模块，</w:t>
      </w:r>
      <w:r>
        <w:rPr>
          <w:rFonts w:hint="default" w:ascii="Times New Roman" w:hAnsi="Times New Roman" w:eastAsia="宋体" w:cs="宋体"/>
          <w:b w:val="0"/>
          <w:i w:val="0"/>
          <w:iCs w:val="0"/>
          <w:caps w:val="0"/>
          <w:color w:val="000000"/>
          <w:spacing w:val="0"/>
          <w:sz w:val="21"/>
          <w:szCs w:val="21"/>
          <w:highlight w:val="none"/>
          <w:shd w:val="clear" w:fill="FFFFFF"/>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t>相关的周期节律与短中程时序依赖。</w:t>
      </w:r>
      <w:r>
        <w:rPr>
          <w:rFonts w:hint="eastAsia" w:ascii="Times New Roman" w:hAnsi="Times New Roman" w:eastAsia="宋体" w:cs="宋体"/>
          <w:b w:val="0"/>
          <w:i w:val="0"/>
          <w:iCs w:val="0"/>
          <w:caps w:val="0"/>
          <w:color w:val="000000"/>
          <w:spacing w:val="0"/>
          <w:sz w:val="21"/>
          <w:szCs w:val="21"/>
          <w:highlight w:val="none"/>
          <w:shd w:val="clear" w:fill="FFFFFF"/>
        </w:rPr>
        <w:t>短期依赖专家采用3层GRU结构，对输入窗口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t>逐步递推，过程为：</w:t>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负载均衡损失由平均权重的方差项与偏离均匀分布的惩罚项共同构成：</w:t>
      </w:r>
    </w:p>
    <w:p w14:paraId="15E435A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6</w:t>
      </w:r>
      <w:r>
        <w:rPr>
          <w:rFonts w:ascii="Times New Roman" w:hAnsi="Times New Roman" w:eastAsia="宋体"/>
          <w:b w:val="0"/>
          <w:i w:val="0"/>
          <w:sz w:val="21"/>
          <w:szCs w:val="21"/>
          <w:highlight w:val="none"/>
        </w:rPr>
        <w:t>)</w:t>
      </w:r>
    </w:p>
    <w:p w14:paraId="6EEAD24E">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为各专家在当前批次上的平均权重向量，</w:t>
      </w:r>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w:r>
        <w:rPr>
          <w:rFonts w:ascii="Times New Roman" w:hAnsi="Times New Roman" w:eastAsia="宋体"/>
          <w:b w:val="0"/>
          <w:i w:val="0"/>
          <w:sz w:val="21"/>
          <w:szCs w:val="21"/>
          <w:highlight w:val="none"/>
        </w:rPr>
        <w:t>表示对该向量</w:t>
      </w:r>
      <w:r>
        <w:rPr>
          <w:rFonts w:hint="eastAsia" w:ascii="Times New Roman" w:hAnsi="Times New Roman" w:eastAsia="宋体"/>
          <w:b w:val="0"/>
          <w:i w:val="0"/>
          <w:sz w:val="21"/>
          <w:szCs w:val="21"/>
          <w:highlight w:val="none"/>
          <w:lang w:val="en-US" w:eastAsia="zh-CN"/>
        </w:rPr>
        <w:t>各分量</w:t>
      </w:r>
      <w:r>
        <w:rPr>
          <w:rFonts w:ascii="Times New Roman" w:hAnsi="Times New Roman" w:eastAsia="宋体"/>
          <w:b w:val="0"/>
          <w:i w:val="0"/>
          <w:sz w:val="21"/>
          <w:szCs w:val="21"/>
          <w:highlight w:val="none"/>
        </w:rPr>
        <w:t>的方差计算。</w:t>
      </w:r>
      <w:r>
        <w:rPr>
          <w:rFonts w:ascii="Times New Roman" w:hAnsi="Times New Roman" w:eastAsia="宋体" w:cs="Segoe UI"/>
          <w:b w:val="0"/>
          <w:i w:val="0"/>
          <w:iCs w:val="0"/>
          <w:caps w:val="0"/>
          <w:color w:val="000000"/>
          <w:spacing w:val="0"/>
          <w:sz w:val="21"/>
          <w:szCs w:val="21"/>
          <w:highlight w:val="none"/>
          <w:shd w:val="clear" w:fill="FFFFFF"/>
        </w:rPr>
        <w:t>第二项用于惩罚各专家负载</w:t>
      </w:r>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hint="default" w:ascii="Times New Roman" w:hAnsi="Times New Roman" w:eastAsia="宋体" w:cs="Segoe UI"/>
          <w:b w:val="0"/>
          <w:i w:val="0"/>
          <w:iCs w:val="0"/>
          <w:caps w:val="0"/>
          <w:color w:val="000000"/>
          <w:spacing w:val="0"/>
          <w:sz w:val="21"/>
          <w:szCs w:val="21"/>
          <w:highlight w:val="none"/>
          <w:shd w:val="clear" w:fill="FFFFFF"/>
        </w:rPr>
        <w:t>偏离均匀水平</w:t>
      </w:r>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hint="default" w:ascii="Times New Roman" w:hAnsi="Times New Roman" w:eastAsia="宋体" w:cs="Segoe UI"/>
          <w:b w:val="0"/>
          <w:i w:val="0"/>
          <w:iCs w:val="0"/>
          <w:caps w:val="0"/>
          <w:color w:val="000000"/>
          <w:spacing w:val="0"/>
          <w:sz w:val="21"/>
          <w:szCs w:val="21"/>
          <w:highlight w:val="none"/>
          <w:shd w:val="clear" w:fill="FFFFFF"/>
        </w:rPr>
        <w:t>的程度，</w:t>
      </w:r>
      <w:r>
        <w:rPr>
          <w:rFonts w:hint="default" w:ascii="Times New Roman" w:hAnsi="Times New Roman" w:eastAsia="宋体" w:cs="Times New Roman"/>
          <w:b w:val="0"/>
          <w:i w:val="0"/>
          <w:caps w:val="0"/>
          <w:color w:val="000000"/>
          <w:spacing w:val="0"/>
          <w:sz w:val="21"/>
          <w:szCs w:val="25"/>
          <w:highlight w:val="none"/>
          <w:shd w:val="clear" w:fill="FFFFFF"/>
        </w:rPr>
        <w:t>K=3</w:t>
      </w:r>
      <w:r>
        <w:rPr>
          <w:rFonts w:hint="default" w:ascii="Times New Roman" w:hAnsi="Times New Roman" w:eastAsia="宋体" w:cs="Segoe UI"/>
          <w:b w:val="0"/>
          <w:i w:val="0"/>
          <w:iCs w:val="0"/>
          <w:caps w:val="0"/>
          <w:color w:val="000000"/>
          <w:spacing w:val="0"/>
          <w:sz w:val="21"/>
          <w:szCs w:val="21"/>
          <w:highlight w:val="none"/>
          <w:shd w:val="clear" w:fill="FFFFFF"/>
        </w:rPr>
        <w:t>。</w:t>
      </w:r>
      <w:r>
        <w:rPr>
          <w:rFonts w:ascii="Times New Roman" w:hAnsi="Times New Roman" w:eastAsia="宋体"/>
          <w:b w:val="0"/>
          <w:i w:val="0"/>
          <w:sz w:val="21"/>
          <w:szCs w:val="21"/>
          <w:highlight w:val="none"/>
        </w:rPr>
        <w:t>该损失项鼓励各专家权重接近均匀分布，抑制权重波动过大，从而提升专家利用的均衡性。</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由图2可见，MoE-Rail/RAMR在峰值与低谷时段均更贴近真实客流，尤其在节假日等强波动区间跟踪误差更小；严格无泄露验证集集成后，表1中Strict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由于节假日样本数有限，门控解释以场景箱线图、时序对照和波动率-权重散点图为主，并报告统计检验结果；若单站线性相关不显著，则不做过度因果解释。</w:t>
      </w:r>
    </w:p>
    <w:p w14:paraId="239E92C0">
      <w:pPr>
        <w:spacing w:before="0" w:after="0" w:line="360" w:lineRule="auto"/>
        <w:ind w:firstLine="0"/>
        <w:jc w:val="center"/>
        <w:rPr>
          <w:highlight w:val="none"/>
        </w:rPr>
      </w:pPr>
      <w:r>
        <w:rPr>
          <w:rFonts w:ascii="Times New Roman" w:hAnsi="Times New Roman" w:eastAsia="宋体"/>
          <w:b w:val="0"/>
          <w:i w:val="0"/>
          <w:sz w:val="21"/>
          <w:highlight w:val="none"/>
        </w:rPr>
        <w:t>表3汇总三类日历场景下各专家门控权重的样本均值，用于刻画场景感知门控的整体路由倾向。</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A2091EA">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667D927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长期专家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7FEC3D9">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短期专家</w:t>
            </w:r>
            <m:oMath>
              <m:acc>
                <m:accPr>
                  <m:chr m:val="̅"/>
                  <m:ctrlPr>
                    <w:rPr>
                      <w:rFonts w:hint="default" w:ascii="Cambria Math" w:hAnsi="Cambria Math"/>
                      <w:sz w:val="18"/>
                      <w:szCs w:val="18"/>
                      <w:highlight w:val="none"/>
                      <w:lang w:val="en-US" w:eastAsia="zh-CN"/>
                    </w:rPr>
                  </m:ctrlPr>
                </m:accPr>
                <m:e>
                  <m:r>
                    <m:rPr>
                      <m:sty m:val="p"/>
                    </m:rPr>
                    <w:rPr>
                      <w:rFonts w:ascii="Times New Roman" w:hAnsi="Times New Roman"/>
                      <w:sz w:val="18"/>
                      <w:szCs w:val="18"/>
                      <w:highlight w:val="none"/>
                    </w:rPr>
                    <m:t>g</m:t>
                  </m:r>
                  <m:ctrlPr>
                    <w:rPr>
                      <w:rFonts w:hint="default" w:ascii="Cambria Math" w:hAnsi="Cambria Math"/>
                      <w:sz w:val="18"/>
                      <w:szCs w:val="18"/>
                      <w:highlight w:val="none"/>
                      <w:lang w:val="en-US" w:eastAsia="zh-CN"/>
                    </w:rPr>
                  </m:ctrlPr>
                </m:e>
              </m:acc>
            </m:oMath>
            <w:r>
              <w:rPr>
                <w:rFonts w:hint="default" w:ascii="Times New Roman" w:hAnsi="Times New Roman" w:eastAsia="宋体"/>
                <w:sz w:val="17"/>
                <w:szCs w:val="18"/>
                <w:highlight w:val="none"/>
                <w:lang w:val="en-US" w:eastAsia="zh-CN"/>
              </w:rPr>
              <w:t>​</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6CB3A15">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62414113">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0.6237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3BBFA8AF">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0.0853</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14:paraId="2251E0F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0.2910</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14:paraId="44DC6A56">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0A44F137">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0.5598</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14:paraId="71B80FE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0.0505</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14:paraId="436D45B0">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0.3897</w:t>
            </w:r>
          </w:p>
        </w:tc>
      </w:tr>
      <w:tr w14:paraId="22E7A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D33DBC8">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节假日</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7F2F147D">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0.3847</w:t>
            </w:r>
          </w:p>
        </w:tc>
        <w:tc>
          <w:tcPr>
            <w:tcW w:w="134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54894962">
            <w:pPr>
              <w:spacing w:line="240" w:lineRule="exact"/>
              <w:jc w:val="center"/>
              <w:rPr>
                <w:rFonts w:hint="default"/>
                <w:sz w:val="18"/>
                <w:szCs w:val="18"/>
                <w:highlight w:val="none"/>
              </w:rPr>
            </w:pPr>
            <w:r>
              <w:rPr>
                <w:rFonts w:hint="default" w:ascii="Times New Roman" w:hAnsi="Times New Roman" w:eastAsia="宋体"/>
                <w:sz w:val="17"/>
                <w:szCs w:val="18"/>
                <w:highlight w:val="none"/>
                <w:lang w:val="en-US" w:eastAsia="zh-CN"/>
              </w:rPr>
              <w:t>0.1755</w:t>
            </w:r>
          </w:p>
        </w:tc>
        <w:tc>
          <w:tcPr>
            <w:tcW w:w="1337" w:type="pct"/>
            <w:tcBorders>
              <w:top w:val="nil"/>
              <w:left w:val="nil"/>
              <w:bottom w:val="single" w:color="auto" w:sz="12" w:space="0"/>
              <w:right w:val="nil"/>
            </w:tcBorders>
            <w:shd w:val="clear" w:color="auto" w:fill="auto"/>
            <w:noWrap w:val="0"/>
            <w:tcMar>
              <w:top w:w="75" w:type="dxa"/>
              <w:left w:w="150" w:type="dxa"/>
              <w:bottom w:w="75" w:type="dxa"/>
              <w:right w:w="150" w:type="dxa"/>
            </w:tcMar>
            <w:vAlign w:val="center"/>
          </w:tcPr>
          <w:p w14:paraId="64DA49A5">
            <w:pPr>
              <w:spacing w:line="240" w:lineRule="exact"/>
              <w:jc w:val="center"/>
              <w:rPr>
                <w:rFonts w:hint="default"/>
                <w:sz w:val="18"/>
                <w:szCs w:val="18"/>
                <w:highlight w:val="none"/>
              </w:rPr>
            </w:pPr>
            <w:r>
              <w:rPr>
                <w:rFonts w:hint="default" w:ascii="Times New Roman" w:hAnsi="Times New Roman" w:eastAsia="宋体"/>
                <w:b/>
                <w:bCs/>
                <w:sz w:val="17"/>
                <w:szCs w:val="18"/>
                <w:highlight w:val="none"/>
                <w:lang w:val="en-US" w:eastAsia="zh-CN"/>
              </w:rPr>
              <w:t>0.4398</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工作日长期专家权重为0.6237，高于分布偏移专家的0.2910，表明常规日期预测主要依赖趋势性与周期性成分；节假日分布偏移专家权重升至0.4398，长期专家权重降至0.3847，说明门控在非常规日历场景下会提高扰动相关专家的融合比例。该结果反映的是窗口级分布变化的响应，不能单独识别极端天气或具体突发事件成因。</w:t>
      </w:r>
    </w:p>
    <w:p w14:paraId="1481DD99">
      <w:pPr>
        <w:spacing w:after="120" w:line="360" w:lineRule="auto"/>
        <w:ind w:firstLine="420"/>
        <w:jc w:val="both"/>
        <w:rPr>
          <w:highlight w:val="none"/>
        </w:rPr>
      </w:pPr>
      <w:r>
        <w:rPr>
          <w:rFonts w:ascii="Times New Roman" w:hAnsi="Times New Roman" w:eastAsia="宋体"/>
          <w:b w:val="0"/>
          <w:i w:val="0"/>
          <w:sz w:val="21"/>
          <w:highlight w:val="none"/>
        </w:rPr>
        <w:t>在表3所揭示的均值差异基础上，表4进一步给出节假日与工作日子集的假设检验结果。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节假日 vs 工作日分布偏移专家门控权重t检验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27E86AE">
            <w:pPr>
              <w:keepNext/>
              <w:snapToGrid w:val="0"/>
              <w:spacing w:line="240" w:lineRule="auto"/>
              <w:ind w:left="0" w:leftChars="0" w:right="0" w:rightChars="0" w:firstLine="0" w:firstLineChars="0"/>
              <w:jc w:val="center"/>
              <w:rPr>
                <w:rFonts w:hint="eastAsia"/>
                <w:b/>
                <w:sz w:val="18"/>
                <w:szCs w:val="18"/>
                <w:highlight w:val="none"/>
                <w:lang w:val="en-US" w:eastAsia="zh-CN"/>
              </w:rPr>
            </w:pPr>
            <w:r>
              <w:rPr>
                <w:rFonts w:hint="default" w:ascii="Times New Roman" w:hAnsi="Times New Roman" w:eastAsia="宋体"/>
                <w:b/>
                <w:sz w:val="17"/>
                <w:szCs w:val="18"/>
                <w:highlight w:val="none"/>
                <w:lang w:val="en-US" w:eastAsia="zh-CN"/>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735AE623">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节假日均值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28588280">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5B4AD54D">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eastAsia" w:ascii="Times New Roman" w:hAnsi="Times New Roman" w:eastAsia="宋体"/>
                <w:b/>
                <w:sz w:val="17"/>
                <w:szCs w:val="18"/>
                <w:highlight w:val="none"/>
                <w:lang w:val="en-US" w:eastAsia="zh-CN"/>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14:paraId="1B7B5E79">
            <w:pPr>
              <w:keepNext/>
              <w:snapToGrid w:val="0"/>
              <w:spacing w:line="240" w:lineRule="auto"/>
              <w:ind w:left="0" w:leftChars="0" w:right="0" w:rightChars="0" w:firstLine="0" w:firstLineChars="0"/>
              <w:jc w:val="center"/>
              <w:rPr>
                <w:rFonts w:hint="default"/>
                <w:b/>
                <w:sz w:val="18"/>
                <w:szCs w:val="18"/>
                <w:highlight w:val="none"/>
                <w:lang w:val="en-US" w:eastAsia="zh-CN"/>
              </w:rPr>
            </w:pPr>
            <w:r>
              <w:rPr>
                <w:rFonts w:hint="default" w:ascii="Times New Roman" w:hAnsi="Times New Roman" w:eastAsia="宋体"/>
                <w:b/>
                <w:sz w:val="17"/>
                <w:szCs w:val="18"/>
                <w:highlight w:val="none"/>
                <w:lang w:val="en-US" w:eastAsia="zh-CN"/>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32EC01E0">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0.4398</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4517D816">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0.2910</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67A9C02B">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2.771</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14:paraId="197E75C1">
            <w:pPr>
              <w:keepNext/>
              <w:snapToGrid w:val="0"/>
              <w:spacing w:line="240" w:lineRule="auto"/>
              <w:ind w:left="0" w:leftChars="0" w:right="0" w:rightChars="0" w:firstLine="0" w:firstLineChars="0"/>
              <w:jc w:val="center"/>
              <w:rPr>
                <w:rFonts w:hint="default"/>
                <w:sz w:val="18"/>
                <w:szCs w:val="18"/>
                <w:highlight w:val="none"/>
                <w:lang w:val="en-US" w:eastAsia="zh-CN"/>
              </w:rPr>
            </w:pPr>
            <w:r>
              <w:rPr>
                <w:rFonts w:hint="default" w:ascii="Times New Roman" w:hAnsi="Times New Roman" w:eastAsia="宋体"/>
                <w:sz w:val="17"/>
                <w:szCs w:val="18"/>
                <w:highlight w:val="none"/>
                <w:lang w:val="en-US" w:eastAsia="zh-CN"/>
              </w:rPr>
              <w:t>0.0065</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在该统计口径下节假日分布偏移专家权重均值（0.4398）高于工作日（0.2910），t=2.771，p=0.0065。该结果支持门控权重存在场景差异，但本文仅将其解释为对日历场景下分布偏移的模型响应，不将其等同于对具体外部事件的因果识别。</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b w:val="0"/>
          <w:i w:val="0"/>
          <w:sz w:val="21"/>
          <w:highlight w:val="none"/>
        </w:rPr>
        <w:t>均值统计难以反映权重的离散程度与极端样本行为。图3以箱线图展示三类场景下各专家门控权重的完整分布，以补充表3的聚合描述。</w:t>
      </w:r>
    </w:p>
    <w:p w14:paraId="509101F8">
      <w:pPr>
        <w:jc w:val="center"/>
        <w:rPr>
          <w:highlight w:val="none"/>
        </w:rPr>
      </w:pPr>
      <w:r>
        <w:rPr>
          <w:rFonts w:ascii="Times New Roman" w:hAnsi="Times New Roman" w:eastAsia="宋体"/>
          <w:sz w:val="21"/>
          <w:highlight w:val="none"/>
        </w:rPr>
        <w:drawing>
          <wp:inline distT="0" distB="0" distL="114300" distR="114300">
            <wp:extent cx="5039995" cy="179641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9"/>
                    <a:srcRect t="8476"/>
                    <a:stretch>
                      <a:fillRect/>
                    </a:stretch>
                  </pic:blipFill>
                  <pic:spPr>
                    <a:xfrm>
                      <a:off x="0" y="0"/>
                      <a:ext cx="5040000" cy="1796415"/>
                    </a:xfrm>
                    <a:prstGeom prst="rect">
                      <a:avLst/>
                    </a:prstGeom>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节假日样本中分布偏移专家权重的中位数与上四分位高于工作日，且分布跨度更大；长期专家权重在节假日整体下移，与工作日的集中高权重形成对照。该分布级证据与表3一致，表明门控路由能够随日历场景调整专家组合。</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b/>
          <w:i w:val="0"/>
          <w:sz w:val="21"/>
          <w:highlight w:val="none"/>
        </w:rPr>
        <w:t>图4  STL分解与专家门控权重对照分析</w:t>
      </w:r>
    </w:p>
    <w:p>
      <w:r>
        <w:rPr>
          <w:rFonts w:ascii="Times New Roman" w:hAnsi="Times New Roman" w:eastAsia="宋体"/>
          <w:sz w:val="21"/>
        </w:rPr>
        <w:t>图6  RAMR不同场景下专家门控权重箱线图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图7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图8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图4表明，专家权重随测试时段存在动态变化，分布偏移专家在部分非常规区段权重抬升，长期专家在相对平稳区段占据较高权重。补充的波动率-短期专家权重分析在北京南_from_nj上得到Pearson r=0.036、p=0.601，未呈现显著线性相关。因此，本文将短期专家解释为可被局部迁移调用的功能专家，而不将其平均权重或单站线性相关作为唯一证据。</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门控权重统计、箱线图和时序对照共同说明模型存在“场景条件—专家路由”的可解释响应。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实验严格遵循论文中描述的设置：以最后一列“OT”作为预测目标，采用70%/10%/20%的时间顺序划分训练/验证/测试集，并针对四个不同的预测窗口长度（τ∈ {96, 192, 336, 720}，分别对应未来4天、8天、14天和30天的小时级预测）独立训练模型，为了综合评估模型在不同预测步长下的稳健性，表5报告了上述四个预测窗口下测试结果的平均值。我们将MoE-Rail与当前先进的基线模型（包括PatchTST[20]、TimeMixer[21]、iTransformer[22]和FreEformer[23]）进行了对比。实验结果如图5所示。MoE-Rail在Traffic数据集上MSE为0.293，MAE为0.354。在MSE指标上，MoE-Rail在Traffic数据集上取得最优表现，表明多专家解耦结构可学习跨场景通用时序规律。</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