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cs="Times New Roman" w:eastAsia="STSong"/>
          <w:b w:val="0"/>
          <w:sz w:val="21"/>
        </w:rPr>
        <w:t>审稿意见逐条回复稿</w:t>
      </w:r>
    </w:p>
    <w:p>
      <w:r>
        <w:rPr>
          <w:rFonts w:ascii="Times New Roman" w:hAnsi="Times New Roman" w:cs="Times New Roman" w:eastAsia="STSong"/>
          <w:b w:val="0"/>
          <w:sz w:val="21"/>
        </w:rPr>
        <w:t>本文修订围绕“场景条件化非平稳时序分解-路由机制（Regime-aware Mixture Routing, RAMR）”重新组织方法叙事与实验验证。所有铁路主实验均基于项目内真实数据 `data/from_nj.csv` 与 `data/to_nj.csv`，即南京南站到其他站点、其他站点到南京南站的双向日粒度客流。实验采用严格时间顺序划分，`RobustScaler` 仅在训练集拟合；checkpoint、集成权重与尺度校准均由验证集确定，测试集仅用于最终一次评估。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专家意见1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1. 统计特征能否解释突发事件、极端天气等不确定因素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仅依靠均值、标准差、最大值等统计特征，是否能够分析突发事件、极端天气等不确定因素？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已在论文中明确修正该表述。修订稿不再声称统计特征能够识别突发事件或极端天气的外部成因，而是将原“统计特征专家”重新定义为 **Robust Distribution Shift Expert（分布偏移专家）**。该专家使用回看窗口内的分位数结构、robust z-score、quantile skewness、peak-to-average ratio 和 volatility index 等特征，刻画已经反映在客流序列中的窗口级分布偏移。由于当前数据集不包含连续可对齐的天气、活动、运营管制等外生标签，本文将其定位为“分布扰动代理建模”，而非事件因果识别。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方法部分“分布偏移专家”、特征工程部分、结论边界说明。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固定消融复核显示，`distribution quantile` 单 checkpoint 在当前数据上取得 MAPE=19.0447%、MSE=0.035678、MAE=0.136987，是统计特征集合中最强的单模型结果；robust 特征主要提供分布扰动解释和与其他 checkpoint 的互补性。证据文件见 `docs/experiments/固定消融套件复核_20260701.md`。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2. 数据集介绍需增加表格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建议在 2.1 数据集介绍中增加表格，列出数据集具体内容、表头和部分数据。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已在论文 2.1 节新增数据字段说明表和样例数据表。表格说明 `passenger flow`、`time/date`、`weekday`、`holiday`、`weekend/workday adjustment`、`trend/regime statistics` 等字段含义，并给出脱敏样例行，明确数据来自 `from_nj.csv` 与 `to_nj.csv` 的内连接结果。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2.1 数据集介绍，Word 表0、表1。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`docs/experiments/数据真实性与实验口径核验_20260630.md` 记录了数据形状、缺失值、重复日期和 SHA256：`from_nj.csv` 为 `c4f8919ce83c4c677d772036ed42fb5e76c99507f3368e2d32f081b556df4ae7`，`to_nj.csv` 为 `d16b3becfc12ed22a576741a505080e9dc279d4ab54d8c8ef597b729efb3c41e`。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3. 缺少特征工程说明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论文构建三种专家框架，但未说明特征工程及特征选取依据。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已新增“multi-view feature decomposition”特征工程说明。修订稿将输入特征分为三类：历史客流窗口、日历场景向量、窗口级分布偏移特征。三类特征分别服务于短期依赖专家、长期依赖专家、分布偏移专家和场景条件化门控网络，特征工程与专家分工保持一致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2.1 数据预处理与特征工程、表2 特征工程说明表。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固定消融复核中，移除日历场景门控后测试 MAPE 从 21.6706% 退化至 23.3886%，MSE 从 0.046175 退化至 0.052137，MAE 从 0.156578 退化至 0.171826，说明日历场景特征对路由有效。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4. 短期专家权重低的问题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2.7.2 节中短期专家权重在三种场景中均最低，需解释原因。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已重新核验专家输出顺序并重算门控权重。旧稿存在专家列顺序解释不一致的问题。当前模型实际专家顺序为 `ShortTerm / LongTerm / DistributionShift`。重算后，工作日短期专家权重为 0.5927，并非最低；周末分布偏移专家权重升至 0.5793，说明非工作日需求结构迁移会触发分布偏移建模。当前严格时间顺序测试窗口无节假日样本，因此修订稿不再报告节假日显著性。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2.7.2 日历场景下的门控权重统计，表4、表5、图3。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Welch t 检验显示，周末分布偏移专家权重显著高于工作日（0.5793 vs. 0.3228，t=4.9757，p=2.42e-06）。证据文件见 `docs/experiments/门控机制统计重算_20260701.md`。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5. Traffic 跨粒度泛化实验跨度较大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日粒度铁路客流迁移到小时级高速公路流量跨度较大，需要重构时间窗口、周期特征和外部扰动特征。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已重写 2.8 节，将过强跨域结论降级为“跨时间粒度结构鲁棒性初步验证”。修订稿明确说明：Traffic 小时级实验不是直接复用铁路日粒度配置，而是在保持专家分解结构的前提下重构小时级输入窗口、小时/星期周期编码和窗口扰动代理。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2.8 泛化性实验、结论。</w:t>
      </w:r>
    </w:p>
    <w:p>
      <w:r>
        <w:rPr>
          <w:rFonts w:ascii="Times New Roman" w:hAnsi="Times New Roman" w:cs="Times New Roman" w:eastAsia="STSong"/>
          <w:b/>
          <w:sz w:val="21"/>
        </w:rPr>
        <w:t>边界说明：</w:t>
      </w:r>
      <w:r>
        <w:rPr>
          <w:rFonts w:ascii="Times New Roman" w:hAnsi="Times New Roman" w:cs="Times New Roman" w:eastAsia="STSong"/>
          <w:b w:val="0"/>
          <w:sz w:val="21"/>
        </w:rPr>
        <w:t xml:space="preserve"> 当前工作区没有可直接复现实验的 Traffic 原始数据文件，因此现有 Traffic 数值仅作为既有四步长平均记录和图表常量，不作为当前仓库从原始数据重新训练复现的证据。该边界已写入 `docs/experiments/Traffic跨粒度证据边界_20260701.md`。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6. 摘要尽量不要出现公式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摘要中不宜出现公式。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已删除摘要中的公式化表达，改为文字描述“趋势、周期和残差扰动交织的多尺度非平稳特征”，并用自然语言描述场景条件化非平稳分解-路由机制。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中文摘要、英文摘要。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7. VAR 表现差，建议重跑或更换对比方法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节 VAR 表现较差，不能体现对比效果，建议重新预测或更换方法。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已在主对比中弱化 VAR 作为核心基线的作用，并补充 DLinear、PatchTST、iTransformer、TimeMixer、FreEformer 等现代强基线。修订稿解释 VAR 在 20 维客流变量、846 个有效日期和强非平稳节假日/周末扰动条件下需要估计较多参数，误差偏大更多反映模型设定与样本规模不匹配。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预测结果对比分析、现代强基线表。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Strict RAMR-VE 在铁路主数据集上取得 MAPE=18.5463%、MSE=0.035640、MAE=0.138028，三项指标均优于 DLinear、PatchTST、iTransformer、TimeMixer 和 FreEformer。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8. 英文字体不统一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文章英文字体没有统一，需按期刊要求修改格式。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已对 Word 全文段落与表格进行字体统一。当前审计显示 660 个非空 run 均为英文 Times New Roman、中文东亚字体 STSong。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Word 全文。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`docs/experiments/Word格式与表格一致性审计_20260701.md`。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9. 图4第一张图不清晰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图4第一张站点客流序列右侧不清楚，建议单独绘图。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已将图4相关叙事拆分为站点客流序列、STL 分解分量、专家门控权重和波动率-短期专家权重关系，并在 Word 稿中调整图文说明，避免依赖单张拥挤图解释机制。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2.7.3、2.7.4 图3、图4及对应文字。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10. `St`、`Tt`、`Rt` 下标不规范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节的 `St`、`Tt`、`Rt` 未写下标。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已统一为 `Sₜ`、`Tₜ`、`Rₜ` 或 LaTeX 花括号下标形式。Word 审计未发现 `S_t`、`T_t`、`R_t` 等 ASCII 下标写法。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摘要、引言、方法部分、机制分析部分。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专家意见2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1. 创新性不足，像已有模块组合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MoE、GRU、Transformer 均为成熟技术，论文像是已有模块组合应用。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已将论文主贡献从“多专家融合模型”重写为“场景条件化非平稳时序分解-路由机制”。修订稿强调创新点不在于简单叠加 GRU、Transformer 与 MLP，而在于将铁路客流“趋势—周期—扰动”生成机制转化为专家分工先验，并通过日历场景与窗口级 regime encoding 显式条件化专家路由。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摘要、引言贡献、方法总述、模型结构图说明。</w:t>
      </w:r>
    </w:p>
    <w:p>
      <w:r>
        <w:rPr>
          <w:rFonts w:ascii="Times New Roman" w:hAnsi="Times New Roman" w:cs="Times New Roman" w:eastAsia="STSong"/>
          <w:b/>
          <w:sz w:val="21"/>
        </w:rPr>
        <w:t>核心表述：</w:t>
      </w:r>
      <w:r>
        <w:rPr>
          <w:rFonts w:ascii="Times New Roman" w:hAnsi="Times New Roman" w:cs="Times New Roman" w:eastAsia="STSong"/>
          <w:b w:val="0"/>
          <w:sz w:val="21"/>
        </w:rPr>
        <w:t xml:space="preserve"> “We introduce a regime-aware routing mechanism that explicitly aligns latent temporal regimes with expert specialization.”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2. 需与 PatchTST、TimeMixer、iTransformer、FreEformer 等新方法对比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原对比方法较早，需加入更新技术。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已补充 DLinear、PatchTST、iTransformer、TimeMixer、FreEformer 五个现代强基线，并在铁路主数据集上使用相同时间顺序划分重新训练评估。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预测结果对比分析，现代强基线表。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现代强基线中 FreEformer 最强，MAPE=20.1540%、MSE=0.040026、MAE=0.148139；Strict RAMR-VE 为 MAPE=18.5463%、MSE=0.035640、MAE=0.138028，三项均更优。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3. MSE 好但 MAE 一般，跨域泛化结论不充分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模型未在所有主要指标取得一致优势，不能直接得出过强跨域结论。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 MAE-aware 训练和 Strict RAMR-VE 严格无泄露验证集集成。最终 Strict RAMR-VE 在测试集上取得 MAPE=18.5463%、MSE=0.035640、MAE=0.138028，相比原 MoE-Rail 的 19.41%、0.037700、0.144000 三项指标均改善。论文同时删除过强跨域表述，将 Traffic 结果限定为结构鲁棒性初步验证。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主结果、2.8 Traffic 实验、结论。</w:t>
      </w:r>
    </w:p>
    <w:p>
      <w:r>
        <w:rPr>
          <w:rFonts w:ascii="Times New Roman" w:hAnsi="Times New Roman" w:cs="Times New Roman" w:eastAsia="STSong"/>
          <w:b/>
          <w:sz w:val="21"/>
        </w:rPr>
        <w:t>不确定性披露：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固定配方 2000 次日期级 bootstrap 中，测试集 MAPE/MSE/MAE 95% CI 分别为 [16.8796, 20.3743]、[0.028133, 0.043991]、[0.125860, 0.151379]；三项同时低于原 MoE-Rail 阈值的比例为 63.15%。因此论文写为“点估计三指标均优且重采样稳定性较高”，不写成任意重采样都显著占优。</w:t>
      </w:r>
    </w:p>
    <w:p>
      <w:pPr/>
      <w:r>
        <w:rPr>
          <w:rFonts w:ascii="Times New Roman" w:hAnsi="Times New Roman" w:eastAsia="STSong"/>
          <w:b w:val="0"/>
          <w:sz w:val="21"/>
        </w:rPr>
        <w:t>现代强基线边界审计：进一步补充非配对优势边界分析。相对当前最强现代基线 FreEformer，Strict RAMR-VE 点估计 MAPE/MSE/MAE 分别降低 7.98%、10.96%、6.83%；以 FreEformer 点估计为阈值，2000 次日期级 bootstrap 中三项同时更优比例为 82.90%，分项 MAPE/MSE/MAE 更优比例分别为 95.80%、85.20%、92.60%。由于现代强基线未保存逐样本预测，该结果不写作配对显著性检验。</w:t>
      </w:r>
    </w:p>
    <w:p>
      <w:pPr/>
      <w:r>
        <w:rPr>
          <w:rFonts w:ascii="Times New Roman" w:hAnsi="Times New Roman" w:eastAsia="STSong"/>
          <w:b w:val="0"/>
          <w:sz w:val="21"/>
        </w:rPr>
        <w:t>站点方向剖面：进一步补充站点/方向级误差审计。Strict RAMR-VE 在“南京南→方向站”和“方向站→南京南”两个方向上的聚合 MAPE 分别为 17.8501% 和 19.2425%，20 个目标变量 MAPE 中位数为 16.4564%，16/20 个目标变量低于 20%。同时修订稿如实披露低客流方向存在更高百分比误差，避免仅用总体指标掩盖局部风险。</w:t>
      </w:r>
    </w:p>
    <w:p>
      <w:r>
        <w:rPr>
          <w:rFonts w:ascii="Times New Roman" w:hAnsi="Times New Roman" w:eastAsia="STSong"/>
        </w:rPr>
        <w:t>流量分层剖面：进一步按单点客流规模和日期总需求进行事后误差审计。单点客流不低于3000人次样本的MAPE/MSE/MAE为13.0327%/0.034273/0.129906，低流量样本（小于500人次）为34.5288%/0.245261/0.334380；高需求日为23.9754%/0.054716/0.187630，高于常规需求日的16.1755%/0.021710/0.114732。该结果说明模型在主业务高流量样本上更稳定，同时明确低流量方向和高需求日期仍是后续改进重点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4. 消融实验建议增加日历特征输入、负载均衡约束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建议增加日历特征输入、负载均衡约束等消融验证。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已新增固定 checkpoint 消融套件，覆盖 scene gating、regime routing、负载均衡形式和分布偏移特征集合。所有 checkpoint 均为验证集保存结果，测试集仅最终评估一次。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2.6 消融实验新增段落，Word 表5。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完整单 checkpoint 为 MAPE=21.6706%、MSE=0.046175、MAE=0.156578；移除 scene gating 后退化为 23.3886%、0.052137、0.171826；移除 regime routing 后退化为 22.9143%、0.044304、0.160740；方差负载均衡为 21.7700%、0.046378、0.158459。该结果支持日历场景输入与 regime routing 对专家路由有效。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5. 文字表达不清晰：日粒度预测不应强调日内高频、早晚高峰；负载均衡称谓不一致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论文是日粒度铁路客流预测，不宜强调日内高频波动、早晚高峰；负载均衡前文称为熵正则，但公式似乎为均匀分布惩罚。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相关表述统一改为“相邻日期局部波动”“跨周周期”“周末转换”“窗口级分布偏移”等日粒度语义，不再使用日内高频和早晚高峰表述。负载均衡部分统一命名为“高熵负载均衡约束”，并说明训练目标最小化 `sum(p log p)` 等价于最大化批次平均专家使用熵；方差型负载约束仅作为消融对照。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方法部分训练目标、2.7 机制分析、结论。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Word 格式审计未发现日内高频、早晚高峰等旧表述。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总体修订结论</w:t>
      </w:r>
    </w:p>
    <w:p>
      <w:r>
        <w:rPr>
          <w:rFonts w:ascii="Times New Roman" w:hAnsi="Times New Roman" w:cs="Times New Roman" w:eastAsia="STSong"/>
          <w:b w:val="0"/>
          <w:sz w:val="21"/>
        </w:rPr>
        <w:t>修订后论文形成以下闭环：</w:t>
      </w:r>
    </w:p>
    <w:p>
      <w:r>
        <w:rPr>
          <w:rFonts w:ascii="Times New Roman" w:hAnsi="Times New Roman" w:cs="Times New Roman" w:eastAsia="STSong"/>
          <w:b w:val="0"/>
          <w:sz w:val="21"/>
        </w:rPr>
        <w:t>1. 方法叙事从工程式 MoE 组合升级为场景条件化非平稳分解-路由机制。</w:t>
      </w:r>
    </w:p>
    <w:p>
      <w:r>
        <w:rPr>
          <w:rFonts w:ascii="Times New Roman" w:hAnsi="Times New Roman" w:cs="Times New Roman" w:eastAsia="STSong"/>
          <w:b w:val="0"/>
          <w:sz w:val="21"/>
        </w:rPr>
        <w:t>2. 数据、特征工程、消融、门控统计、现代强基线和无泄露验证集集成均已补充证据。</w:t>
      </w:r>
    </w:p>
    <w:p>
      <w:r>
        <w:rPr>
          <w:rFonts w:ascii="Times New Roman" w:hAnsi="Times New Roman" w:cs="Times New Roman" w:eastAsia="STSong"/>
          <w:b w:val="0"/>
          <w:sz w:val="21"/>
        </w:rPr>
        <w:t>3. 主数据集最终结果为 MAPE=18.5463%、MSE=0.035640、MAE=0.138028，三项指标均优于原 MoE-Rail 与新增现代强基线。</w:t>
      </w:r>
    </w:p>
    <w:p>
      <w:r>
        <w:rPr>
          <w:rFonts w:ascii="Times New Roman" w:hAnsi="Times New Roman" w:cs="Times New Roman" w:eastAsia="STSong"/>
          <w:b w:val="0"/>
          <w:sz w:val="21"/>
        </w:rPr>
        <w:t>4. 对统计特征、Traffic 跨粒度实验和泛化结论均保留必要边界，不将分布偏移代理写成事件因果识别，也不将单一 Traffic 结果写成稳定跨域泛化证明。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STSong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cs="Times New Roman" w:eastAsia="STSong"/>
      <w:sz w:val="21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cs="Times New Roman" w:eastAsia="STSong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365F91" w:themeColor="accent1" w:themeShade="BF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cs="Times New Roman" w:eastAsia="STSong"/>
      <w:color w:val="243F60" w:themeColor="accent1" w:themeShade="7F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243F60" w:themeColor="accent1" w:themeShade="7F"/>
      <w:sz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cs="Times New Roman" w:eastAsia="STSong"/>
      <w:color w:val="4F81BD" w:themeColor="accent1"/>
      <w:sz w:val="2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cs="Times New Roman" w:eastAsia="STSong"/>
      <w:sz w:val="21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cs="Times New Roman" w:eastAsia="STSong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365F91" w:themeColor="accent1" w:themeShade="BF"/>
      <w:sz w:val="21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cs="Times New Roman" w:eastAsia="STSong"/>
      <w:color w:val="17365D" w:themeColor="text2" w:themeShade="BF"/>
      <w:spacing w:val="5"/>
      <w:kern w:val="28"/>
      <w:sz w:val="21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17365D" w:themeColor="text2" w:themeShade="BF"/>
      <w:spacing w:val="5"/>
      <w:kern w:val="28"/>
      <w:sz w:val="21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F81BD" w:themeColor="accent1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F81BD" w:themeColor="accent1"/>
      <w:spacing w:val="15"/>
      <w:sz w:val="21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cs="Times New Roman" w:eastAsia="STSong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cs="Times New Roman" w:eastAsia="STSong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cs="Times New Roman" w:eastAsia="STSong"/>
      <w:sz w:val="21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cs="Times New Roman" w:eastAsia="STSong"/>
      <w:sz w:val="21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cs="Times New Roman" w:eastAsia="STSong"/>
      <w:sz w:val="21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cs="Times New Roman" w:eastAsia="STSong"/>
      <w:sz w:val="21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cs="Times New Roman" w:eastAsia="STSong"/>
      <w:sz w:val="21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cs="Times New Roman" w:eastAsia="STSong"/>
      <w:sz w:val="21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cs="Times New Roman" w:eastAsia="STSong"/>
      <w:sz w:val="21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cs="Times New Roman" w:eastAsia="STSong"/>
      <w:sz w:val="21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STSong"/>
      <w:sz w:val="21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STSong"/>
      <w:sz w:val="21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cs="Times New Roman" w:eastAsia="STSong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cs="Times New Roman" w:eastAsia="STSong"/>
      <w:i/>
      <w:iCs/>
      <w:color w:val="000000" w:themeColor="text1"/>
      <w:sz w:val="2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243F60" w:themeColor="accent1" w:themeShade="7F"/>
      <w:sz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243F60" w:themeColor="accent1" w:themeShade="7F"/>
      <w:sz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4F81BD" w:themeColor="accent1"/>
      <w:sz w:val="21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cs="Times New Roman" w:eastAsia="STSong"/>
      <w:b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cs="Times New Roman" w:eastAsia="STSong"/>
      <w:b/>
      <w:bCs/>
      <w:sz w:val="21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cs="Times New Roman" w:eastAsia="STSong"/>
      <w:i/>
      <w:iCs/>
      <w:sz w:val="2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cs="Times New Roman" w:eastAsia="STSong"/>
      <w:i/>
      <w:iCs/>
      <w:color w:val="808080" w:themeColor="text1" w:themeTint="7F"/>
      <w:sz w:val="21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cs="Times New Roman" w:eastAsia="STSong"/>
      <w:smallCaps/>
      <w:color w:val="C0504D" w:themeColor="accent2"/>
      <w:sz w:val="21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cs="Times New Roman" w:eastAsia="STSong"/>
      <w:b/>
      <w:bCs/>
      <w:smallCaps/>
      <w:color w:val="C0504D" w:themeColor="accent2"/>
      <w:spacing w:val="5"/>
      <w:sz w:val="21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cs="Times New Roman" w:eastAsia="STSong"/>
      <w:b/>
      <w:bCs/>
      <w:smallCaps/>
      <w:spacing w:val="5"/>
      <w:sz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cs="Times New Roman" w:eastAsia="STSong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000000" w:themeColor="text1" w:themeShade="BF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365F91" w:themeColor="accent1" w:themeShade="BF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943634" w:themeColor="accent2" w:themeShade="BF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76923C" w:themeColor="accent3" w:themeShade="BF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5F497A" w:themeColor="accent4" w:themeShade="BF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31849B" w:themeColor="accent5" w:themeShade="BF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E36C0A" w:themeColor="accent6" w:themeShade="BF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