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cs="Times New Roman" w:eastAsia="STSong"/>
          <w:b w:val="0"/>
          <w:sz w:val="21"/>
        </w:rPr>
        <w:t>审稿意见逐条回复稿</w:t>
      </w:r>
    </w:p>
    <w:p>
      <w:r>
        <w:rPr>
          <w:rFonts w:ascii="Times New Roman" w:hAnsi="Times New Roman" w:cs="Times New Roman" w:eastAsia="STSong"/>
          <w:b w:val="0"/>
          <w:sz w:val="21"/>
        </w:rPr>
        <w:t>本文修订围绕“场景条件化非平稳时序分解-路由机制（Regime-aware Mixture Routing, RAMR）”重新组织方法叙事与实验验证。所有铁路主实验均基于项目内真实数据 `data/from_nj.csv` 与 `data/to_nj.csv`，即南京南站到其他站点、其他站点到南京南站的双向日粒度客流。实验采用严格时间顺序划分，`RobustScaler` 仅在训练集拟合；checkpoint、集成权重与尺度校准均由验证集确定，测试集仅用于最终一次评估。</w:t>
      </w:r>
    </w:p>
    <w:p>
      <w:pPr>
        <w:pStyle w:val="Heading2"/>
      </w:pPr>
      <w:r>
        <w:rPr>
          <w:rFonts w:ascii="Times New Roman" w:hAnsi="Times New Roman" w:cs="Times New Roman" w:eastAsia="STSong"/>
          <w:b w:val="0"/>
          <w:sz w:val="21"/>
        </w:rPr>
        <w:t>专家意见1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1. 统计特征能否解释突发事件、极端天气等不确定因素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仅依靠均值、标准差、最大值等统计特征，是否能够分析突发事件、极端天气等不确定因素？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已在论文中明确修正该表述。修订稿不再声称统计特征能够识别突发事件或极端天气的外部成因，而是将原“统计特征专家”重新定义为 **Robust Distribution Shift Expert（分布偏移专家）**。该专家使用回看窗口内的分位数结构、robust z-score、quantile skewness、peak-to-average ratio 和 volatility index 等特征，刻画已经反映在客流序列中的窗口级分布偏移。由于当前数据集不包含连续可对齐的天气、活动、运营管制等外生标签，本文将其定位为“分布扰动代理建模”，而非事件因果识别。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方法部分“分布偏移专家”、特征工程部分、结论边界说明。</w:t>
      </w:r>
    </w:p>
    <w:p>
      <w:r>
        <w:rPr>
          <w:rFonts w:ascii="Times New Roman" w:hAnsi="Times New Roman" w:cs="Times New Roman" w:eastAsia="STSong"/>
          <w:b/>
          <w:sz w:val="21"/>
        </w:rPr>
        <w:t>补充证据：</w:t>
      </w:r>
      <w:r>
        <w:rPr>
          <w:rFonts w:ascii="Times New Roman" w:hAnsi="Times New Roman" w:cs="Times New Roman" w:eastAsia="STSong"/>
          <w:b w:val="0"/>
          <w:sz w:val="21"/>
        </w:rPr>
        <w:t xml:space="preserve"> 固定消融复核显示，`distribution quantile` 单 checkpoint 在当前数据上取得 MAPE=19.0447%、MSE=0.035678、MAE=0.136987，是统计特征集合中最强的单模型结果；robust 特征主要提供分布扰动解释和与其他 checkpoint 的互补性。证据文件见 `docs/experiments/固定消融套件复核_20260701.md`。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2. 数据集介绍需增加表格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建议在 2.1 数据集介绍中增加表格，列出数据集具体内容、表头和部分数据。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已在论文 2.1 节新增数据字段说明表和样例数据表。表格说明 `passenger flow`、`time/date`、`weekday`、`holiday`、`weekend/workday adjustment`、`trend/regime statistics` 等字段含义，并给出脱敏样例行，明确数据来自 `from_nj.csv` 与 `to_nj.csv` 的内连接结果。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2.1 数据集介绍，Word 表0、表1。</w:t>
      </w:r>
    </w:p>
    <w:p>
      <w:r>
        <w:rPr>
          <w:rFonts w:ascii="Times New Roman" w:hAnsi="Times New Roman" w:cs="Times New Roman" w:eastAsia="STSong"/>
          <w:b/>
          <w:sz w:val="21"/>
        </w:rPr>
        <w:t>补充证据：</w:t>
      </w:r>
      <w:r>
        <w:rPr>
          <w:rFonts w:ascii="Times New Roman" w:hAnsi="Times New Roman" w:cs="Times New Roman" w:eastAsia="STSong"/>
          <w:b w:val="0"/>
          <w:sz w:val="21"/>
        </w:rPr>
        <w:t xml:space="preserve"> `docs/experiments/数据真实性与实验口径核验_20260630.md` 记录了数据形状、缺失值、重复日期和 SHA256：`from_nj.csv` 为 `c4f8919ce83c4c677d772036ed42fb5e76c99507f3368e2d32f081b556df4ae7`，`to_nj.csv` 为 `d16b3becfc12ed22a576741a505080e9dc279d4ab54d8c8ef597b729efb3c41e`。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3. 缺少特征工程说明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论文构建三种专家框架，但未说明特征工程及特征选取依据。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已新增“multi-view feature decomposition”特征工程说明。修订稿将输入特征分为三类：历史客流窗口、日历场景向量、窗口级分布偏移特征。三类特征分别服务于短期依赖专家、长期依赖专家、分布偏移专家和场景条件化门控网络，特征工程与专家分工保持一致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2.1 数据预处理与特征工程、表2 特征工程说明表。</w:t>
      </w:r>
    </w:p>
    <w:p>
      <w:r>
        <w:rPr>
          <w:rFonts w:ascii="Times New Roman" w:hAnsi="Times New Roman" w:cs="Times New Roman" w:eastAsia="STSong"/>
          <w:b/>
          <w:sz w:val="21"/>
        </w:rPr>
        <w:t>补充证据：</w:t>
      </w:r>
      <w:r>
        <w:rPr>
          <w:rFonts w:ascii="Times New Roman" w:hAnsi="Times New Roman" w:cs="Times New Roman" w:eastAsia="STSong"/>
          <w:b w:val="0"/>
          <w:sz w:val="21"/>
        </w:rPr>
        <w:t xml:space="preserve"> 固定消融复核中，移除日历场景门控后测试 MAPE 从 21.6706% 退化至 23.3886%，MSE 从 0.046175 退化至 0.052137，MAE 从 0.156578 退化至 0.171826，说明日历场景特征对路由有效。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4. 短期专家权重低的问题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2.7.2 节中短期专家权重在三种场景中均最低，需解释原因。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已重新核验专家输出顺序并重算门控权重。旧稿存在专家列顺序解释不一致的问题。当前模型实际专家顺序为 `ShortTerm / LongTerm / DistributionShift`。重算后，工作日短期专家权重为 0.5927，并非最低；周末分布偏移专家权重升至 0.5793，说明非工作日需求结构迁移会触发分布偏移建模。当前严格时间顺序测试窗口无节假日样本，因此修订稿不再报告节假日显著性。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2.7.2 日历场景下的门控权重统计，表4、表5、图3。</w:t>
      </w:r>
    </w:p>
    <w:p>
      <w:r>
        <w:rPr>
          <w:rFonts w:ascii="Times New Roman" w:hAnsi="Times New Roman" w:cs="Times New Roman" w:eastAsia="STSong"/>
          <w:b/>
          <w:sz w:val="21"/>
        </w:rPr>
        <w:t>补充证据：</w:t>
      </w:r>
      <w:r>
        <w:rPr>
          <w:rFonts w:ascii="Times New Roman" w:hAnsi="Times New Roman" w:cs="Times New Roman" w:eastAsia="STSong"/>
          <w:b w:val="0"/>
          <w:sz w:val="21"/>
        </w:rPr>
        <w:t xml:space="preserve"> Welch t 检验显示，周末分布偏移专家权重显著高于工作日（0.5793 vs. 0.3228，t=4.9757，p=2.42e-06）。证据文件见 `docs/experiments/门控机制统计重算_20260701.md`。</w:t>
      </w:r>
    </w:p>
    <w:p>
      <w:r>
        <w:rPr>
          <w:rFonts w:ascii="Times New Roman" w:hAnsi="Times New Roman" w:eastAsia="STSong"/>
        </w:rPr>
        <w:t>Regime对齐补充：进一步新增历史窗口regime-gating对齐审计。日总波动率最高25%的样本中短期专家权重均值为0.6714，高于其余样本0.4256（p=2.58e-06）；峰均比最高25%的样本中分布偏移专家权重均值为0.5909，高于其余样本0.3303（p=1.83e-05）。该结果说明门控并非简单平均融合，而是将高频相邻日变化和峰值突发强度分配给不同专家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5. Traffic 跨粒度泛化实验跨度较大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日粒度铁路客流迁移到小时级高速公路流量跨度较大，需要重构时间窗口、周期特征和外部扰动特征。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已重写 2.8 节，将过强跨域结论降级为“跨时间粒度结构鲁棒性初步验证”。修订稿明确说明：Traffic 小时级实验不是直接复用铁路日粒度配置，而是在保持专家分解结构的前提下重构小时级输入窗口、小时/星期周期编码和窗口扰动代理。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2.8 泛化性实验、结论。</w:t>
      </w:r>
    </w:p>
    <w:p>
      <w:r>
        <w:rPr>
          <w:rFonts w:ascii="Times New Roman" w:hAnsi="Times New Roman" w:cs="Times New Roman" w:eastAsia="STSong"/>
          <w:b/>
          <w:sz w:val="21"/>
        </w:rPr>
        <w:t>边界说明：</w:t>
      </w:r>
      <w:r>
        <w:rPr>
          <w:rFonts w:ascii="Times New Roman" w:hAnsi="Times New Roman" w:cs="Times New Roman" w:eastAsia="STSong"/>
          <w:b w:val="0"/>
          <w:sz w:val="21"/>
        </w:rPr>
        <w:t xml:space="preserve"> 当前工作区没有可直接复现实验的 Traffic 原始数据文件，因此现有 Traffic 数值仅作为既有四步长平均记录和图表常量，不作为当前仓库从原始数据重新训练复现的证据。该边界已写入 `docs/experiments/Traffic跨粒度证据边界_20260701.md`。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6. 摘要尽量不要出现公式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摘要中不宜出现公式。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已删除摘要中的公式化表达，改为文字描述“趋势、周期和残差扰动交织的多尺度非平稳特征”，并用自然语言描述场景条件化非平稳分解-路由机制。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中文摘要、英文摘要。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7. VAR 表现差，建议重跑或更换对比方法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2.5 节 VAR 表现较差，不能体现对比效果，建议重新预测或更换方法。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已在主对比中弱化 VAR 作为核心基线的作用，并补充 DLinear、PatchTST、iTransformer、TimeMixer、FreEformer 等现代强基线。修订稿解释 VAR 在 20 维客流变量、846 个有效日期和强非平稳节假日/周末扰动条件下需要估计较多参数，误差偏大更多反映模型设定与样本规模不匹配。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2.5 预测结果对比分析、现代强基线表。</w:t>
      </w:r>
    </w:p>
    <w:p>
      <w:r>
        <w:rPr>
          <w:rFonts w:ascii="Times New Roman" w:hAnsi="Times New Roman" w:cs="Times New Roman" w:eastAsia="STSong"/>
          <w:b/>
          <w:sz w:val="21"/>
        </w:rPr>
        <w:t>补充结果：</w:t>
      </w:r>
      <w:r>
        <w:rPr>
          <w:rFonts w:ascii="Times New Roman" w:hAnsi="Times New Roman" w:cs="Times New Roman" w:eastAsia="STSong"/>
          <w:b w:val="0"/>
          <w:sz w:val="21"/>
        </w:rPr>
        <w:t xml:space="preserve"> Strict RAMR-VE 在铁路主数据集上取得 MAPE=18.5463%、MSE=0.035640、MAE=0.138028，三项指标均优于 DLinear、PatchTST、iTransformer、TimeMixer 和 FreEformer。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8. 英文字体不统一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文章英文字体没有统一，需按期刊要求修改格式。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已对 Word 全文段落与表格进行字体统一。当前审计显示 660 个非空 run 均为英文 Times New Roman、中文东亚字体 STSong。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Word 全文。</w:t>
      </w:r>
    </w:p>
    <w:p>
      <w:r>
        <w:rPr>
          <w:rFonts w:ascii="Times New Roman" w:hAnsi="Times New Roman" w:cs="Times New Roman" w:eastAsia="STSong"/>
          <w:b/>
          <w:sz w:val="21"/>
        </w:rPr>
        <w:t>补充证据：</w:t>
      </w:r>
      <w:r>
        <w:rPr>
          <w:rFonts w:ascii="Times New Roman" w:hAnsi="Times New Roman" w:cs="Times New Roman" w:eastAsia="STSong"/>
          <w:b w:val="0"/>
          <w:sz w:val="21"/>
        </w:rPr>
        <w:t xml:space="preserve"> `docs/experiments/Word格式与表格一致性审计_20260701.md`。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9. 图4第一张图不清晰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图4第一张站点客流序列右侧不清楚，建议单独绘图。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已将图4相关叙事拆分为站点客流序列、STL 分解分量、专家门控权重和波动率-短期专家权重关系，并在 Word 稿中调整图文说明，避免依赖单张拥挤图解释机制。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2.7.3、2.7.4 图3、图4及对应文字。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10. `St`、`Tt`、`Rt` 下标不规范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2.5 节的 `St`、`Tt`、`Rt` 未写下标。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已统一为 `Sₜ`、`Tₜ`、`Rₜ` 或 LaTeX 花括号下标形式。Word 审计未发现 `S_t`、`T_t`、`R_t` 等 ASCII 下标写法。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摘要、引言、方法部分、机制分析部分。</w:t>
      </w:r>
    </w:p>
    <w:p>
      <w:pPr>
        <w:pStyle w:val="Heading2"/>
      </w:pPr>
      <w:r>
        <w:rPr>
          <w:rFonts w:ascii="Times New Roman" w:hAnsi="Times New Roman" w:cs="Times New Roman" w:eastAsia="STSong"/>
          <w:b w:val="0"/>
          <w:sz w:val="21"/>
        </w:rPr>
        <w:t>专家意见2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1. 创新性不足，像已有模块组合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MoE、GRU、Transformer 均为成熟技术，论文像是已有模块组合应用。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已将论文主贡献从“多专家融合模型”重写为“场景条件化非平稳时序分解-路由机制”。修订稿强调创新点不在于简单叠加 GRU、Transformer 与 MLP，而在于将铁路客流“趋势—周期—扰动”生成机制转化为专家分工先验，并通过日历场景与窗口级 regime encoding 显式条件化专家路由。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摘要、引言贡献、方法总述、模型结构图说明。</w:t>
      </w:r>
    </w:p>
    <w:p>
      <w:r>
        <w:rPr>
          <w:rFonts w:ascii="Times New Roman" w:hAnsi="Times New Roman" w:cs="Times New Roman" w:eastAsia="STSong"/>
          <w:b/>
          <w:sz w:val="21"/>
        </w:rPr>
        <w:t>核心表述：</w:t>
      </w:r>
      <w:r>
        <w:rPr>
          <w:rFonts w:ascii="Times New Roman" w:hAnsi="Times New Roman" w:cs="Times New Roman" w:eastAsia="STSong"/>
          <w:b w:val="0"/>
          <w:sz w:val="21"/>
        </w:rPr>
        <w:t xml:space="preserve"> “We introduce a regime-aware routing mechanism that explicitly aligns latent temporal regimes with expert specialization.”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2. 需与 PatchTST、TimeMixer、iTransformer、FreEformer 等新方法对比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原对比方法较早，需加入更新技术。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已补充 DLinear、PatchTST、iTransformer、TimeMixer、FreEformer 五个现代强基线，并在铁路主数据集上使用相同时间顺序划分重新训练评估。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2.5 预测结果对比分析，现代强基线表。</w:t>
      </w:r>
    </w:p>
    <w:p>
      <w:r>
        <w:rPr>
          <w:rFonts w:ascii="Times New Roman" w:hAnsi="Times New Roman" w:cs="Times New Roman" w:eastAsia="STSong"/>
          <w:b/>
          <w:sz w:val="21"/>
        </w:rPr>
        <w:t>补充结果：</w:t>
      </w:r>
      <w:r>
        <w:rPr>
          <w:rFonts w:ascii="Times New Roman" w:hAnsi="Times New Roman" w:cs="Times New Roman" w:eastAsia="STSong"/>
          <w:b w:val="0"/>
          <w:sz w:val="21"/>
        </w:rPr>
        <w:t xml:space="preserve"> 现代强基线中 FreEformer 最强，MAPE=20.1540%、MSE=0.040026、MAE=0.148139；Strict RAMR-VE 为 MAPE=18.5463%、MSE=0.035640、MAE=0.138028，三项均更优。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3. MSE 好但 MAE 一般，跨域泛化结论不充分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模型未在所有主要指标取得一致优势，不能直接得出过强跨域结论。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已新增 MAE-aware 训练和 Strict RAMR-VE 严格无泄露验证集集成。最终 Strict RAMR-VE 在测试集上取得 MAPE=18.5463%、MSE=0.035640、MAE=0.138028，相比原 MoE-Rail 的 19.41%、0.037700、0.144000 三项指标均改善。论文同时删除过强跨域表述，将 Traffic 结果限定为结构鲁棒性初步验证。</w:t>
      </w:r>
    </w:p>
    <w:p>
      <w:r>
        <w:rPr>
          <w:rFonts w:ascii="Times New Roman" w:hAnsi="Times New Roman" w:eastAsia="STSong"/>
        </w:rPr>
        <w:t>无泄露协议审计： 新增可执行协议审计，重建 423/211/212 天时间顺序划分，验证 RobustScaler 参数与仅训练集拟合结果一致且不等于全量拟合结果，并逐样本检查输入窗口均早于预测目标；固定测试预测文件 212 行与测试集样本数一致。证据见 docs/experiments/无泄露实验协议审计_20260701.md。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2.5 主结果、2.8 Traffic 实验、结论。</w:t>
      </w:r>
    </w:p>
    <w:p>
      <w:r>
        <w:rPr>
          <w:rFonts w:ascii="Times New Roman" w:hAnsi="Times New Roman" w:cs="Times New Roman" w:eastAsia="STSong"/>
          <w:b/>
          <w:sz w:val="21"/>
        </w:rPr>
        <w:t>不确定性披露：</w:t>
      </w:r>
      <w:r>
        <w:rPr>
          <w:rFonts w:ascii="Times New Roman" w:hAnsi="Times New Roman" w:cs="Times New Roman" w:eastAsia="STSong"/>
          <w:b w:val="0"/>
          <w:sz w:val="21"/>
        </w:rPr>
        <w:t xml:space="preserve"> 固定配方 2000 次日期级 bootstrap 中，测试集 MAPE/MSE/MAE 95% CI 分别为 [16.8796, 20.3743]、[0.028133, 0.043991]、[0.125860, 0.151379]；三项同时低于原 MoE-Rail 阈值的比例为 63.15%。因此论文写为“点估计三指标均优且重采样稳定性较高”，不写成任意重采样都显著占优。</w:t>
      </w:r>
    </w:p>
    <w:p>
      <w:pPr/>
      <w:r>
        <w:rPr>
          <w:rFonts w:ascii="Times New Roman" w:hAnsi="Times New Roman" w:eastAsia="STSong"/>
          <w:b w:val="0"/>
          <w:sz w:val="21"/>
        </w:rPr>
        <w:t>现代强基线边界审计：进一步补充非配对优势边界分析。相对当前最强现代基线 FreEformer，Strict RAMR-VE 点估计 MAPE/MSE/MAE 分别降低 7.98%、10.96%、6.83%；以 FreEformer 点估计为阈值，2000 次日期级 bootstrap 中三项同时更优比例为 82.90%，分项 MAPE/MSE/MAE 更优比例分别为 95.80%、85.20%、92.60%。由于现代强基线未保存逐样本预测，该结果不写作配对显著性检验。</w:t>
      </w:r>
    </w:p>
    <w:p>
      <w:r>
        <w:rPr>
          <w:rFonts w:ascii="Times New Roman" w:hAnsi="Times New Roman" w:eastAsia="STSong"/>
        </w:rPr>
        <w:t>全指标支配审计：为进一步回应“MAE 是否仍为弱项”的问题，新增现代强基线全指标支配审计。Strict RAMR-VE在DLinear、PatchTST、iTransformer、TimeMixer、FreEformer五个现代基线与MAPE/MSE/MAE三个指标构成的15个点估计比较单元中全部更低，支配率为15/15；以Strict RAMR-VE日期级95% CI上界与各基线点估计比较，严格低于基线的单元为10/15。该结果证明当前协议下MAE点估计已同步优于现代强基线，但仍不写作逐样本配对显著性检验。</w:t>
      </w:r>
    </w:p>
    <w:p>
      <w:r>
        <w:rPr>
          <w:rFonts w:ascii="Times New Roman" w:hAnsi="Times New Roman" w:eastAsia="STSong"/>
        </w:rPr>
        <w:t>配对预测审计： 进一步补充现代强基线 prediction-export rerun，在验证集选择最佳 epoch 后保存测试集逐样本预测，并逐文件校验测试目标与 Strict RAMR-VE 固定预测完全一致。配对审计显示，Strict RAMR-VE 在同一测试日期和20个目标变量上相对五个现代强基线的 15/15 个 MAPE/MSE/MAE 点估计比较单元均更低，日期级 bootstrap 中三指标同时更优的概率最低为 89.40%。该结果作为补充逐样本可比性证据，不替换原现代强基线主表。</w:t>
      </w:r>
    </w:p>
    <w:p>
      <w:pPr/>
      <w:r>
        <w:rPr>
          <w:rFonts w:ascii="Times New Roman" w:hAnsi="Times New Roman" w:eastAsia="STSong"/>
        </w:rPr>
        <w:t>配对统计审计：进一步以测试日期为配对单位补充 Wilcoxon 符号秩检验、Monte Carlo 符号置换检验和 Holm 多重比较校正。结果显示，15/15 个点估计差值为正，15/15 个 Wilcoxon-Holm 单侧检验在 α=0.01 下显著；bootstrap 95% CI 下界为正和符号置换-Holm 显著的单元均为 14/15，唯一边界为 TimeMixer 的 MSE。该结果支持“MAE 并非弱项、三指标点估计和配对秩检验均占优”，同时保留有限测试窗口的不确定性边界。</w:t>
      </w:r>
    </w:p>
    <w:p>
      <w:pPr/>
      <w:r>
        <w:rPr>
          <w:rFonts w:ascii="Times New Roman" w:hAnsi="Times New Roman" w:eastAsia="STSong"/>
          <w:b w:val="0"/>
          <w:sz w:val="21"/>
        </w:rPr>
        <w:t>站点方向剖面：进一步补充站点/方向级误差审计。Strict RAMR-VE 在“南京南→方向站”和“方向站→南京南”两个方向上的聚合 MAPE 分别为 17.8501% 和 19.2425%，20 个目标变量 MAPE 中位数为 16.4564%，16/20 个目标变量低于 20%。同时修订稿如实披露低客流方向存在更高百分比误差，避免仅用总体指标掩盖局部风险。</w:t>
      </w:r>
    </w:p>
    <w:p>
      <w:r>
        <w:rPr>
          <w:rFonts w:ascii="Times New Roman" w:hAnsi="Times New Roman" w:eastAsia="STSong"/>
        </w:rPr>
        <w:t>流量分层剖面：进一步按单点客流规模和日期总需求进行事后误差审计。单点客流不低于3000人次样本的MAPE/MSE/MAE为13.0327%/0.034273/0.129906，低流量样本（小于500人次）为34.5288%/0.245261/0.334380；高需求日为23.9754%/0.054716/0.187630，高于常规需求日的16.1755%/0.021710/0.114732。该结果说明模型在主业务高流量样本上更稳定，同时明确低流量方向和高需求日期仍是后续改进重点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4. 消融实验建议增加日历特征输入、负载均衡约束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建议增加日历特征输入、负载均衡约束等消融验证。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已新增固定 checkpoint 消融套件，覆盖 scene gating、regime routing、负载均衡形式和分布偏移特征集合。所有 checkpoint 均为验证集保存结果，测试集仅最终评估一次。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2.6 消融实验新增段落，Word 表5。</w:t>
      </w:r>
    </w:p>
    <w:p>
      <w:r>
        <w:rPr>
          <w:rFonts w:ascii="Times New Roman" w:hAnsi="Times New Roman" w:cs="Times New Roman" w:eastAsia="STSong"/>
          <w:b/>
          <w:sz w:val="21"/>
        </w:rPr>
        <w:t>补充结果：</w:t>
      </w:r>
      <w:r>
        <w:rPr>
          <w:rFonts w:ascii="Times New Roman" w:hAnsi="Times New Roman" w:cs="Times New Roman" w:eastAsia="STSong"/>
          <w:b w:val="0"/>
          <w:sz w:val="21"/>
        </w:rPr>
        <w:t xml:space="preserve"> 完整单 checkpoint 为 MAPE=21.6706%、MSE=0.046175、MAE=0.156578；移除 scene gating 后退化为 23.3886%、0.052137、0.171826；移除 regime routing 后退化为 22.9143%、0.044304、0.160740；方差负载均衡为 21.7700%、0.046378、0.158459。该结果支持日历场景输入与 regime routing 对专家路由有效。</w:t>
      </w:r>
    </w:p>
    <w:p>
      <w:pPr>
        <w:pStyle w:val="Heading3"/>
      </w:pPr>
      <w:r>
        <w:rPr>
          <w:rFonts w:ascii="Times New Roman" w:hAnsi="Times New Roman" w:cs="Times New Roman" w:eastAsia="STSong"/>
          <w:b w:val="0"/>
          <w:sz w:val="21"/>
        </w:rPr>
        <w:t>5. 文字表达不清晰：日粒度预测不应强调日内高频、早晚高峰；负载均衡称谓不一致</w:t>
      </w:r>
    </w:p>
    <w:p>
      <w:r>
        <w:rPr>
          <w:rFonts w:ascii="Times New Roman" w:hAnsi="Times New Roman" w:cs="Times New Roman" w:eastAsia="STSong"/>
          <w:b/>
          <w:sz w:val="21"/>
        </w:rPr>
        <w:t>意见概述：</w:t>
      </w:r>
      <w:r>
        <w:rPr>
          <w:rFonts w:ascii="Times New Roman" w:hAnsi="Times New Roman" w:cs="Times New Roman" w:eastAsia="STSong"/>
          <w:b w:val="0"/>
          <w:sz w:val="21"/>
        </w:rPr>
        <w:t xml:space="preserve"> 论文是日粒度铁路客流预测，不宜强调日内高频波动、早晚高峰；负载均衡前文称为熵正则，但公式似乎为均匀分布惩罚。</w:t>
      </w:r>
    </w:p>
    <w:p>
      <w:r>
        <w:rPr>
          <w:rFonts w:ascii="Times New Roman" w:hAnsi="Times New Roman" w:cs="Times New Roman" w:eastAsia="STSong"/>
          <w:b/>
          <w:sz w:val="21"/>
        </w:rPr>
        <w:t>回复：</w:t>
      </w:r>
      <w:r>
        <w:rPr>
          <w:rFonts w:ascii="Times New Roman" w:hAnsi="Times New Roman" w:cs="Times New Roman" w:eastAsia="STSong"/>
          <w:b w:val="0"/>
          <w:sz w:val="21"/>
        </w:rPr>
        <w:t xml:space="preserve"> 已将相关表述统一改为“相邻日期局部波动”“跨周周期”“周末转换”“窗口级分布偏移”等日粒度语义，不再使用日内高频和早晚高峰表述。负载均衡部分统一命名为“高熵负载均衡约束”，并说明训练目标最小化 `sum(p log p)` 等价于最大化批次平均专家使用熵；方差型负载约束仅作为消融对照。</w:t>
      </w:r>
    </w:p>
    <w:p>
      <w:r>
        <w:rPr>
          <w:rFonts w:ascii="Times New Roman" w:hAnsi="Times New Roman" w:cs="Times New Roman" w:eastAsia="STSong"/>
          <w:b/>
          <w:sz w:val="21"/>
        </w:rPr>
        <w:t>论文修改位置：</w:t>
      </w:r>
      <w:r>
        <w:rPr>
          <w:rFonts w:ascii="Times New Roman" w:hAnsi="Times New Roman" w:cs="Times New Roman" w:eastAsia="STSong"/>
          <w:b w:val="0"/>
          <w:sz w:val="21"/>
        </w:rPr>
        <w:t xml:space="preserve"> 方法部分训练目标、2.7 机制分析、结论。</w:t>
      </w:r>
    </w:p>
    <w:p>
      <w:r>
        <w:rPr>
          <w:rFonts w:ascii="Times New Roman" w:hAnsi="Times New Roman" w:cs="Times New Roman" w:eastAsia="STSong"/>
          <w:b/>
          <w:sz w:val="21"/>
        </w:rPr>
        <w:t>补充证据：</w:t>
      </w:r>
      <w:r>
        <w:rPr>
          <w:rFonts w:ascii="Times New Roman" w:hAnsi="Times New Roman" w:cs="Times New Roman" w:eastAsia="STSong"/>
          <w:b w:val="0"/>
          <w:sz w:val="21"/>
        </w:rPr>
        <w:t xml:space="preserve"> Word 格式审计未发现日内高频、早晚高峰等旧表述。</w:t>
      </w:r>
    </w:p>
    <w:p>
      <w:pPr>
        <w:pStyle w:val="Heading2"/>
      </w:pPr>
      <w:r>
        <w:rPr>
          <w:rFonts w:ascii="Times New Roman" w:hAnsi="Times New Roman" w:cs="Times New Roman" w:eastAsia="STSong"/>
          <w:b w:val="0"/>
          <w:sz w:val="21"/>
        </w:rPr>
        <w:t>总体修订结论</w:t>
      </w:r>
    </w:p>
    <w:p>
      <w:r>
        <w:rPr>
          <w:rFonts w:ascii="Times New Roman" w:hAnsi="Times New Roman" w:cs="Times New Roman" w:eastAsia="STSong"/>
          <w:b w:val="0"/>
          <w:sz w:val="21"/>
        </w:rPr>
        <w:t>修订后论文形成以下闭环：</w:t>
      </w:r>
    </w:p>
    <w:p>
      <w:r>
        <w:rPr>
          <w:rFonts w:ascii="Times New Roman" w:hAnsi="Times New Roman" w:cs="Times New Roman" w:eastAsia="STSong"/>
          <w:b w:val="0"/>
          <w:sz w:val="21"/>
        </w:rPr>
        <w:t>1. 方法叙事从工程式 MoE 组合升级为场景条件化非平稳分解-路由机制。</w:t>
      </w:r>
    </w:p>
    <w:p>
      <w:r>
        <w:rPr>
          <w:rFonts w:ascii="Times New Roman" w:hAnsi="Times New Roman" w:cs="Times New Roman" w:eastAsia="STSong"/>
          <w:b w:val="0"/>
          <w:sz w:val="21"/>
        </w:rPr>
        <w:t>2. 数据、特征工程、消融、门控统计、现代强基线和无泄露验证集集成均已补充证据。</w:t>
      </w:r>
    </w:p>
    <w:p>
      <w:r>
        <w:rPr>
          <w:rFonts w:ascii="Times New Roman" w:hAnsi="Times New Roman" w:eastAsia="STSong"/>
        </w:rPr>
      </w:r>
      <w:r>
        <w:rPr>
          <w:rFonts w:ascii="Times New Roman" w:hAnsi="Times New Roman" w:eastAsia="STSong"/>
        </w:rPr>
      </w:r>
      <w:r>
        <w:rPr>
          <w:rFonts w:ascii="Times New Roman" w:hAnsi="Times New Roman" w:eastAsia="STSong"/>
        </w:rPr>
        <w:t>3. 主数据集最终结果为 MAPE=18.5463%、MSE=0.035640、MAE=0.138028，三项指标均优于原 MoE-Rail 与新增现代强基线；现代强基线全指标支配审计显示 15/15 个点估计比较单元均更优，配对预测审计中三指标同时更优的日期级 bootstrap 概率最低为 89.40%，配对统计审计中 15/15 个 Wilcoxon-Holm 单侧检验显著。</w:t>
      </w:r>
    </w:p>
    <w:p>
      <w:r>
        <w:rPr>
          <w:rFonts w:ascii="Times New Roman" w:hAnsi="Times New Roman" w:cs="Times New Roman" w:eastAsia="STSong"/>
          <w:b w:val="0"/>
          <w:sz w:val="21"/>
        </w:rPr>
        <w:t>4. 对统计特征、Traffic 跨粒度实验和泛化结论均保留必要边界，不将分布偏移代理写成事件因果识别，也不将单一 Traffic 结果写成稳定跨域泛化证明。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T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TSong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STSong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TSong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STSong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STSong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STSong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STSong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STSong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STSong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STSong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STSong"/>
      <w:sz w:val="21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STSong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STSong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STSong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STSong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STSong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STSong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STSong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STSong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STSong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STSong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STSong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STSong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STSong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STSong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STSong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STSong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STSong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STSong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STSong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STSong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STSong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STSong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STSong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STSong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STSong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STSong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STSong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STSong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STSong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STSong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STSong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STSong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STSong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STSong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STSong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STSong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STSong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STSong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STSong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STSong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STSong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STSong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STSong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STSong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STSong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TSong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TSong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TSong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TSong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TSong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TSong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STSong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STSong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TSong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TSong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TSong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TSong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TSong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TSong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STSong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STSong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