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043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8"/>
        <w:gridCol w:w="2156"/>
        <w:gridCol w:w="5669"/>
      </w:tblGrid>
      <w:tr w14:paraId="78195A1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18" w:type="dxa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BD168D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Theme="minorEastAsia" w:hAnsiTheme="minorEastAsia" w:eastAsiaTheme="minorEastAsia" w:cstheme="minorEastAsia"/>
                <w:b/>
                <w:sz w:val="22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2"/>
                <w:szCs w:val="20"/>
              </w:rPr>
              <w:t>缩写</w:t>
            </w:r>
          </w:p>
        </w:tc>
        <w:tc>
          <w:tcPr>
            <w:tcW w:w="2156" w:type="dxa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170F3E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Theme="minorEastAsia" w:hAnsiTheme="minorEastAsia" w:eastAsiaTheme="minorEastAsia" w:cstheme="minorEastAsia"/>
                <w:b/>
                <w:sz w:val="22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2"/>
                <w:szCs w:val="20"/>
              </w:rPr>
              <w:t>名称</w:t>
            </w:r>
          </w:p>
        </w:tc>
        <w:tc>
          <w:tcPr>
            <w:tcW w:w="5669" w:type="dxa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B08633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Theme="minorEastAsia" w:hAnsiTheme="minorEastAsia" w:eastAsiaTheme="minorEastAsia" w:cstheme="minorEastAsia"/>
                <w:b/>
                <w:sz w:val="22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2"/>
                <w:szCs w:val="20"/>
              </w:rPr>
              <w:t>定义</w:t>
            </w:r>
          </w:p>
        </w:tc>
      </w:tr>
      <w:tr w14:paraId="6B46F9E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  <w:jc w:val="center"/>
        </w:trPr>
        <w:tc>
          <w:tcPr>
            <w:tcW w:w="9043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A15501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Theme="minorEastAsia" w:hAnsiTheme="minorEastAsia" w:eastAsiaTheme="minorEastAsia" w:cstheme="minorEastAsia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0"/>
              </w:rPr>
              <w:t>1．估值与盈利因子</w:t>
            </w:r>
          </w:p>
        </w:tc>
      </w:tr>
      <w:tr w14:paraId="5736700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CEEEE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bm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55222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账面市值比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B04EE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股东权益账面价值/总市值</w:t>
            </w:r>
          </w:p>
        </w:tc>
      </w:tr>
      <w:tr w14:paraId="6A6F52B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E7408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bm_ia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4841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行业调整后账面市值比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9EF9E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(公司bm-行业均值bm)/行业标准差</w:t>
            </w:r>
          </w:p>
          <w:p w14:paraId="789AEC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其中行业均值为该行业所有公司在时间t时的特征值</w:t>
            </w:r>
          </w:p>
        </w:tc>
      </w:tr>
      <w:tr w14:paraId="1EC3878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BC653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ep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27ABD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盈利价格比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9D07F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净利润/总市值</w:t>
            </w:r>
          </w:p>
        </w:tc>
      </w:tr>
      <w:tr w14:paraId="7C2C7E8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E333E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cfp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EFB3D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现金流价格比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772DA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经营现金流/总市值</w:t>
            </w:r>
          </w:p>
        </w:tc>
      </w:tr>
      <w:tr w14:paraId="69793F2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1FFE0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cfp_ia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04A1E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行业调整后现金流价格比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68AE4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(公司cfp-行业均值cfp)/行业标准差</w:t>
            </w:r>
          </w:p>
        </w:tc>
      </w:tr>
      <w:tr w14:paraId="0D0F93C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B78A6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cashpr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E9701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现金流价格比（营收版）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21866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经营现金流/营业收入</w:t>
            </w:r>
          </w:p>
        </w:tc>
      </w:tr>
      <w:tr w14:paraId="4D7AAA8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9A432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dy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B2695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股息率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238F0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现金股利/总市值</w:t>
            </w:r>
          </w:p>
        </w:tc>
      </w:tr>
      <w:tr w14:paraId="0290720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5EE11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sp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92B0E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营业收入市值比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3D236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营业收入/市值</w:t>
            </w:r>
          </w:p>
        </w:tc>
      </w:tr>
      <w:tr w14:paraId="5269834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A73BF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roaq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58F11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资产收益率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C8FC4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净利润/期初总资产</w:t>
            </w:r>
          </w:p>
        </w:tc>
      </w:tr>
      <w:tr w14:paraId="1D6DC08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4DD15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roeq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09194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净资产收益率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C0456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净利润/股东权益</w:t>
            </w:r>
          </w:p>
        </w:tc>
      </w:tr>
      <w:tr w14:paraId="6716867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68098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roic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E7661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投入资本回报率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E859E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税后净营业利润/投入资本</w:t>
            </w:r>
          </w:p>
        </w:tc>
      </w:tr>
      <w:tr w14:paraId="504D70D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630D6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roavol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AA1B5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ROA波动率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8BC06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过去12个月ROA的标准差</w:t>
            </w:r>
          </w:p>
        </w:tc>
      </w:tr>
      <w:tr w14:paraId="4F5D0B5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5EF75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operprof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E7D5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营业利润率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A55F9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OP = (营业收入 - 利息收入) / 账面权益</w:t>
            </w:r>
          </w:p>
        </w:tc>
      </w:tr>
      <w:tr w14:paraId="7828402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F8992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ps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BD290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Piotroski F-score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80435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将8个财务信号分为三类：1. 盈利能力（4个）</w:t>
            </w:r>
          </w:p>
          <w:p w14:paraId="547235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ROA：roa是否为正。</w:t>
            </w:r>
          </w:p>
          <w:p w14:paraId="3C6D6E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ΔROA：ROA 是否较上季增长。</w:t>
            </w:r>
          </w:p>
          <w:p w14:paraId="4D308A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CFO：经营活动现金流量是否为正。</w:t>
            </w:r>
          </w:p>
          <w:p w14:paraId="5A36B0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ACCRUAL：应计项目是否为负，反映盈余质量。</w:t>
            </w:r>
          </w:p>
          <w:p w14:paraId="7F3003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2. 财务杠杆与流动性（2个）</w:t>
            </w:r>
          </w:p>
          <w:p w14:paraId="700C6E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ΔLEVER：长期负债率是否下降</w:t>
            </w:r>
          </w:p>
          <w:p w14:paraId="27ECCD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ΔLIQUID：流动比率是否改善。</w:t>
            </w:r>
          </w:p>
          <w:p w14:paraId="4295B1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3. 运营效率（2个）</w:t>
            </w:r>
          </w:p>
          <w:p w14:paraId="03DA6A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ΔMARGIN：毛利率是否提升。</w:t>
            </w:r>
          </w:p>
          <w:p w14:paraId="6D322C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ΔTURN：资产周转率是否提升。</w:t>
            </w:r>
          </w:p>
          <w:p w14:paraId="38E692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每个信号都被转换为一个二进制变量：如果信号为“好”，则赋值为 1，如果信号为“坏”，则赋值为 0</w:t>
            </w:r>
          </w:p>
          <w:p w14:paraId="009892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F_SCORE 是上述8个二进制信号的总和</w:t>
            </w:r>
          </w:p>
        </w:tc>
      </w:tr>
      <w:tr w14:paraId="173B1F1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B314D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</w:p>
          <w:p w14:paraId="72BA8B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ms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9739D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</w:p>
          <w:p w14:paraId="096D9E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Mohanram G-score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D65EB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</w:p>
          <w:p w14:paraId="5A1192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G1（盈利性）：ROA是否高于同期低bm公司同行业中位数？G1 = 1 if roaq &gt; Industry Median</w:t>
            </w:r>
          </w:p>
          <w:p w14:paraId="6F3572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G2（现金流盈利性）：CFROA是否高于同期低BM公司同行业中位数？G2 = 1 if CFROA &gt; Industry Median(CFROA)</w:t>
            </w:r>
          </w:p>
          <w:p w14:paraId="708049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G3（应计项目质量）：经营活动现金流是否大于净利润</w:t>
            </w:r>
          </w:p>
          <w:p w14:paraId="049F08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G4（盈利稳定性）：过去3-5年ROA的方差是否低于同期低bm公司同行业中位数？</w:t>
            </w:r>
            <w:r>
              <w:rPr>
                <w:rFonts w:hint="eastAsia"/>
                <w:sz w:val="22"/>
                <w:szCs w:val="22"/>
              </w:rPr>
              <w:br w:type="textWrapping"/>
            </w:r>
            <w:r>
              <w:rPr>
                <w:rFonts w:hint="eastAsia"/>
                <w:sz w:val="22"/>
                <w:szCs w:val="22"/>
              </w:rPr>
              <w:t>G4 = 1 if VAR(roaq) &lt; Industry Median(VAR(ROA))</w:t>
            </w:r>
            <w:r>
              <w:rPr>
                <w:rFonts w:hint="eastAsia"/>
                <w:sz w:val="22"/>
                <w:szCs w:val="22"/>
              </w:rPr>
              <w:br w:type="textWrapping"/>
            </w:r>
            <w:r>
              <w:rPr>
                <w:rFonts w:hint="eastAsia"/>
                <w:sz w:val="22"/>
                <w:szCs w:val="22"/>
              </w:rPr>
              <w:t>注：若数据不足3年，则取0</w:t>
            </w:r>
          </w:p>
          <w:p w14:paraId="641B55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G5（销售增长稳定性）：过去3-5年销售增长率（sgr）的方差是否低于同期低BM公司同行业中位数？</w:t>
            </w:r>
            <w:r>
              <w:rPr>
                <w:rFonts w:hint="eastAsia"/>
                <w:sz w:val="22"/>
                <w:szCs w:val="22"/>
              </w:rPr>
              <w:br w:type="textWrapping"/>
            </w:r>
            <w:r>
              <w:rPr>
                <w:rFonts w:hint="eastAsia"/>
                <w:sz w:val="22"/>
                <w:szCs w:val="22"/>
              </w:rPr>
              <w:t>G5 = 1 if sgr &lt; Industry Median(VAR(Sales Growth))</w:t>
            </w:r>
            <w:r>
              <w:rPr>
                <w:rFonts w:hint="eastAsia"/>
                <w:sz w:val="22"/>
                <w:szCs w:val="22"/>
              </w:rPr>
              <w:br w:type="textWrapping"/>
            </w:r>
            <w:r>
              <w:rPr>
                <w:rFonts w:hint="eastAsia"/>
                <w:sz w:val="22"/>
                <w:szCs w:val="22"/>
              </w:rPr>
              <w:t>注：若数据不足3年，则取0</w:t>
            </w:r>
          </w:p>
          <w:p w14:paraId="07AE7B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G6（研发强度）：研发支出/总资产是否高于同期低bm公司同行业中位数？G6 = 1 if yanfa_cost/Assets &gt; Industry Median(R&amp;D/Assets)</w:t>
            </w:r>
          </w:p>
          <w:p w14:paraId="4BBC70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G7（资本支出强度）：资本支出zbzc/总资产zzc是否高于同期低BM公司同行业中位数？</w:t>
            </w:r>
            <w:r>
              <w:rPr>
                <w:rFonts w:hint="eastAsia"/>
                <w:sz w:val="22"/>
                <w:szCs w:val="22"/>
              </w:rPr>
              <w:br w:type="textWrapping"/>
            </w:r>
            <w:r>
              <w:rPr>
                <w:rFonts w:hint="eastAsia"/>
                <w:sz w:val="22"/>
                <w:szCs w:val="22"/>
              </w:rPr>
              <w:t>G7 = 1 if zbzc/Assets &gt; Industry Median(zbzc/Assets)</w:t>
            </w:r>
          </w:p>
        </w:tc>
      </w:tr>
      <w:tr w14:paraId="4B3A905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224C6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gma</w:t>
            </w:r>
          </w:p>
        </w:tc>
        <w:tc>
          <w:tcPr>
            <w:tcW w:w="2156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7EB22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毛利率</w:t>
            </w:r>
          </w:p>
        </w:tc>
        <w:tc>
          <w:tcPr>
            <w:tcW w:w="5669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E298E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  <w:sz w:val="22"/>
                        <w:szCs w:val="22"/>
                      </w:rPr>
                      <m:t>GMA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i,t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  <m:t>Revenue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i,t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sz w:val="22"/>
                        <w:szCs w:val="22"/>
                      </w:rPr>
                      <m:t>−</m:t>
                    </m:r>
                    <m:sSub>
                      <m:sSubP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  <m:t>COGS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i,t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  <m:t>Total Assets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i,t−1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eastAsia" w:ascii="Cambria Math" w:hAnsi="Cambria Math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  <w:sz w:val="22"/>
                        <w:szCs w:val="22"/>
                      </w:rPr>
                      <m:t>Gross Profit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  <w:sz w:val="22"/>
                        <w:szCs w:val="22"/>
                      </w:rPr>
                      <m:t>Lagged Total Assets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eastAsia" w:ascii="Cambria Math" w:hAnsi="Cambria Math"/>
                    <w:sz w:val="22"/>
                    <w:szCs w:val="22"/>
                  </w:rPr>
                  <m:t xml:space="preserve"> </m:t>
                </m:r>
              </m:oMath>
            </m:oMathPara>
          </w:p>
        </w:tc>
      </w:tr>
      <w:tr w14:paraId="60DF769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043" w:type="dxa"/>
            <w:gridSpan w:val="3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BF2AF3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Theme="minorEastAsia" w:hAnsiTheme="minorEastAsia" w:eastAsiaTheme="minorEastAsia" w:cstheme="minorEastAsia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0"/>
              </w:rPr>
              <w:t>2．成长与投资因子</w:t>
            </w:r>
          </w:p>
        </w:tc>
      </w:tr>
      <w:tr w14:paraId="6C78B9C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single" w:color="auto" w:sz="6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7D5F9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agr</w:t>
            </w:r>
          </w:p>
        </w:tc>
        <w:tc>
          <w:tcPr>
            <w:tcW w:w="2156" w:type="dxa"/>
            <w:tcBorders>
              <w:top w:val="single" w:color="auto" w:sz="6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6CB6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总资产增长率</w:t>
            </w:r>
          </w:p>
        </w:tc>
        <w:tc>
          <w:tcPr>
            <w:tcW w:w="5669" w:type="dxa"/>
            <w:tcBorders>
              <w:top w:val="single" w:color="auto" w:sz="6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35770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(本期总资产</w:t>
            </w:r>
            <m:oMath>
              <m:r>
                <m:rPr>
                  <m:sty m:val="p"/>
                </m:rPr>
                <w:rPr>
                  <w:rFonts w:hint="eastAsia" w:ascii="Cambria Math" w:hAnsi="Cambria Math"/>
                  <w:sz w:val="22"/>
                  <w:szCs w:val="22"/>
                </w:rPr>
                <m:t>−</m:t>
              </m:r>
            </m:oMath>
            <w:r>
              <w:rPr>
                <w:rFonts w:hint="eastAsia"/>
                <w:sz w:val="22"/>
                <w:szCs w:val="22"/>
              </w:rPr>
              <w:t>上期总资产)/上期总资产</w:t>
            </w:r>
          </w:p>
        </w:tc>
      </w:tr>
      <w:tr w14:paraId="7160E6E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E7D0D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egr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E6E21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所有者权益增长率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1FF7C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(本期股东权益</w:t>
            </w:r>
            <m:oMath>
              <m:r>
                <m:rPr>
                  <m:sty m:val="p"/>
                </m:rPr>
                <w:rPr>
                  <w:rFonts w:hint="eastAsia" w:ascii="Cambria Math" w:hAnsi="Cambria Math"/>
                  <w:sz w:val="22"/>
                  <w:szCs w:val="22"/>
                </w:rPr>
                <m:t>−</m:t>
              </m:r>
            </m:oMath>
            <w:r>
              <w:rPr>
                <w:rFonts w:hint="eastAsia"/>
                <w:sz w:val="22"/>
                <w:szCs w:val="22"/>
              </w:rPr>
              <w:t>上期股东权益)/上期股东权益</w:t>
            </w:r>
          </w:p>
        </w:tc>
      </w:tr>
      <w:tr w14:paraId="5A81304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D8705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sgr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FD7F6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营业收入增长率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B1909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(本期营业收入</w:t>
            </w:r>
            <m:oMath>
              <m:r>
                <m:rPr>
                  <m:sty m:val="p"/>
                </m:rPr>
                <w:rPr>
                  <w:rFonts w:hint="eastAsia" w:ascii="Cambria Math" w:hAnsi="Cambria Math"/>
                  <w:sz w:val="22"/>
                  <w:szCs w:val="22"/>
                </w:rPr>
                <m:t>−</m:t>
              </m:r>
            </m:oMath>
            <w:r>
              <w:rPr>
                <w:rFonts w:hint="eastAsia"/>
                <w:sz w:val="22"/>
                <w:szCs w:val="22"/>
              </w:rPr>
              <w:t>上期营业收入)/上期营业收入</w:t>
            </w:r>
          </w:p>
        </w:tc>
      </w:tr>
      <w:tr w14:paraId="09143D7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924F6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grCAPX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A14FB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资本支出增长率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210F9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  <w:sz w:val="22"/>
                        <w:szCs w:val="22"/>
                      </w:rPr>
                      <m:t>grCAPX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i,t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  <m:t>CAPX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i,t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  <w:sz w:val="22"/>
                        <w:szCs w:val="22"/>
                      </w:rPr>
                      <m:t>−</m:t>
                    </m:r>
                    <m:sSub>
                      <m:sSubP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  <m:t>CAPX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i,t−</m:t>
                        </m:r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  <m:t>3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  <m:t>CAPX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i,t−</m:t>
                        </m:r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  <m:t>3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den>
                </m:f>
              </m:oMath>
            </m:oMathPara>
          </w:p>
          <w:p w14:paraId="52B1C6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hint="eastAsia" w:ascii="Cambria Math" w:hAnsi="Cambria Math"/>
                  <w:sz w:val="22"/>
                  <w:szCs w:val="22"/>
                </w:rPr>
                <m:t>（资本支出变动）</m:t>
              </m:r>
            </m:oMath>
            <w:r>
              <w:rPr>
                <w:rFonts w:hint="eastAsia"/>
                <w:sz w:val="22"/>
                <w:szCs w:val="22"/>
              </w:rPr>
              <w:t>/</w:t>
            </w:r>
            <m:oMath>
              <m:r>
                <m:rPr>
                  <m:sty m:val="p"/>
                </m:rPr>
                <w:rPr>
                  <w:rFonts w:hint="eastAsia" w:ascii="Cambria Math" w:hAnsi="Cambria Math"/>
                  <w:sz w:val="22"/>
                  <w:szCs w:val="22"/>
                </w:rPr>
                <m:t>（净固定资产）</m:t>
              </m:r>
            </m:oMath>
          </w:p>
        </w:tc>
      </w:tr>
      <w:tr w14:paraId="7E775DB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8861F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grltnoa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C7F9A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长期净经营资产增长率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64C5B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hint="default" w:ascii="Cambria Math" w:hAnsi="Cambria Math"/>
                    <w:sz w:val="22"/>
                    <w:szCs w:val="22"/>
                  </w:rPr>
                  <m:t>NO</m:t>
                </m:r>
                <m:sSub>
                  <m:sSub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A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t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/>
                    <w:sz w:val="22"/>
                    <w:szCs w:val="22"/>
                  </w:rPr>
                  <m:t>=O</m:t>
                </m:r>
                <m:sSub>
                  <m:sSub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A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t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/>
                    <w:sz w:val="22"/>
                    <w:szCs w:val="22"/>
                  </w:rPr>
                  <m:t>−O</m:t>
                </m:r>
                <m:sSub>
                  <m:sSub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L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t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</m:sSub>
              </m:oMath>
            </m:oMathPara>
          </w:p>
          <w:p w14:paraId="7A6D21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hint="default" w:ascii="Cambria Math" w:hAnsi="Cambria Math"/>
                    <w:sz w:val="22"/>
                    <w:szCs w:val="22"/>
                  </w:rPr>
                  <m:t>O</m:t>
                </m:r>
                <m:sSub>
                  <m:sSub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A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t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/>
                    <w:sz w:val="22"/>
                    <w:szCs w:val="22"/>
                  </w:rPr>
                  <m:t>=A</m:t>
                </m:r>
                <m:sSub>
                  <m:sSub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R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t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/>
                    <w:sz w:val="22"/>
                    <w:szCs w:val="22"/>
                  </w:rPr>
                  <m:t>+IN</m:t>
                </m:r>
                <m:sSub>
                  <m:sSub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V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t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/>
                    <w:sz w:val="22"/>
                    <w:szCs w:val="22"/>
                  </w:rPr>
                  <m:t>+CA</m:t>
                </m:r>
                <m:sSub>
                  <m:sSub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O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t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/>
                    <w:sz w:val="22"/>
                    <w:szCs w:val="22"/>
                  </w:rPr>
                  <m:t>+PP</m:t>
                </m:r>
                <m:sSub>
                  <m:sSub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t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/>
                    <w:sz w:val="22"/>
                    <w:szCs w:val="22"/>
                  </w:rPr>
                  <m:t>+IN</m:t>
                </m:r>
                <m:sSub>
                  <m:sSub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T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t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/>
                    <w:sz w:val="22"/>
                    <w:szCs w:val="22"/>
                  </w:rPr>
                  <m:t>+A</m:t>
                </m:r>
                <m:sSub>
                  <m:sSub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O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t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</m:sSub>
              </m:oMath>
            </m:oMathPara>
          </w:p>
          <w:p w14:paraId="47A53B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hint="default" w:ascii="Cambria Math" w:hAnsi="Cambria Math"/>
                    <w:sz w:val="22"/>
                    <w:szCs w:val="22"/>
                  </w:rPr>
                  <m:t>O</m:t>
                </m:r>
                <m:sSub>
                  <m:sSub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L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t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/>
                    <w:sz w:val="22"/>
                    <w:szCs w:val="22"/>
                  </w:rPr>
                  <m:t>=A</m:t>
                </m:r>
                <m:sSub>
                  <m:sSub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P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t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/>
                    <w:sz w:val="22"/>
                    <w:szCs w:val="22"/>
                  </w:rPr>
                  <m:t>+CL</m:t>
                </m:r>
                <m:sSub>
                  <m:sSub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O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t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/>
                    <w:sz w:val="22"/>
                    <w:szCs w:val="22"/>
                  </w:rPr>
                  <m:t>+L</m:t>
                </m:r>
                <m:sSub>
                  <m:sSub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O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t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</m:sSub>
              </m:oMath>
            </m:oMathPara>
          </w:p>
          <w:p w14:paraId="28D68A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hint="default" w:ascii="Cambria Math" w:hAnsi="Cambria Math"/>
                    <w:sz w:val="22"/>
                    <w:szCs w:val="22"/>
                  </w:rPr>
                  <m:t>GrNO</m:t>
                </m:r>
                <m:sSub>
                  <m:sSub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A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t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/>
                    <w:sz w:val="22"/>
                    <w:szCs w:val="22"/>
                  </w:rPr>
                  <m:t>=NO</m:t>
                </m:r>
                <m:sSub>
                  <m:sSub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A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t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/>
                    <w:sz w:val="22"/>
                    <w:szCs w:val="22"/>
                  </w:rPr>
                  <m:t>−NO</m:t>
                </m:r>
                <m:sSub>
                  <m:sSub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A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t−1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</m:sSub>
              </m:oMath>
            </m:oMathPara>
          </w:p>
          <w:p w14:paraId="499506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hint="default" w:ascii="Cambria Math" w:hAnsi="Cambria Math"/>
                    <w:sz w:val="22"/>
                    <w:szCs w:val="22"/>
                  </w:rPr>
                  <m:t>GrLTNO</m:t>
                </m:r>
                <m:sSub>
                  <m:sSub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A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t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/>
                    <w:sz w:val="22"/>
                    <w:szCs w:val="22"/>
                  </w:rPr>
                  <m:t>=GrNO</m:t>
                </m:r>
                <m:sSub>
                  <m:sSub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A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t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/>
                    <w:sz w:val="22"/>
                    <w:szCs w:val="22"/>
                  </w:rPr>
                  <m:t>−AC</m:t>
                </m:r>
                <m:sSub>
                  <m:sSub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C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t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</m:sSub>
              </m:oMath>
            </m:oMathPara>
          </w:p>
          <w:p w14:paraId="751B72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hint="default" w:ascii="Cambria Math" w:hAnsi="Cambria Math"/>
                    <w:sz w:val="22"/>
                    <w:szCs w:val="22"/>
                  </w:rPr>
                  <m:t>AC</m:t>
                </m:r>
                <m:sSub>
                  <m:sSub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C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t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/>
                    <w:sz w:val="22"/>
                    <w:szCs w:val="22"/>
                  </w:rPr>
                  <m:t>=GrW</m:t>
                </m:r>
                <m:sSub>
                  <m:sSub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C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t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/>
                    <w:sz w:val="22"/>
                    <w:szCs w:val="22"/>
                  </w:rPr>
                  <m:t>−DEPA</m:t>
                </m:r>
                <m:sSub>
                  <m:sSub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M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t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</m:sSub>
              </m:oMath>
            </m:oMathPara>
          </w:p>
          <w:p w14:paraId="391686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hint="eastAsia" w:ascii="Cambria Math" w:hAnsi="Cambria Math"/>
                    <w:sz w:val="22"/>
                    <w:szCs w:val="22"/>
                  </w:rPr>
                  <m:t>所有变量进行总资产缩放=</m:t>
                </m:r>
                <m:f>
                  <m:f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GrLTNO</m:t>
                    </m:r>
                    <m:sSub>
                      <m:sSubP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A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t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AT</m:t>
                    </m:r>
                    <m:sSub>
                      <m:sSubP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A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t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den>
                </m:f>
              </m:oMath>
            </m:oMathPara>
          </w:p>
          <w:p w14:paraId="304170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其中：OA经营资产 = 应收账款+存货+其他流动资产+不动产、厂房、设备+无形资产+其他长期资产</w:t>
            </w:r>
          </w:p>
          <w:p w14:paraId="59830E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OL 经营负债=应付账款+其他流动负债+其他长期负债 </w:t>
            </w:r>
          </w:p>
          <w:p w14:paraId="13C16C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ACC应计利润 = 营运资本的增长-折旧与摊销</w:t>
            </w:r>
          </w:p>
        </w:tc>
      </w:tr>
      <w:tr w14:paraId="0A1BE44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45247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invest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37EE8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投资比率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69AC2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（资本性支出+存货增加）/上一年度总资产</w:t>
            </w:r>
          </w:p>
        </w:tc>
      </w:tr>
      <w:tr w14:paraId="68F57AA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B1234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chinv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483DD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存货变动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1CCCD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存货的年度变化率</w:t>
            </w:r>
          </w:p>
        </w:tc>
      </w:tr>
      <w:tr w14:paraId="2DAA9B9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C6E2A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cinvest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94E7F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资本投资指标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37B0C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  <w:sz w:val="22"/>
                        <w:szCs w:val="22"/>
                      </w:rPr>
                      <m:t>cinvest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i,t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  <m:t>CAPX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i,t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  <m:t>PPENT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i,t−1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den>
                </m:f>
              </m:oMath>
            </m:oMathPara>
          </w:p>
          <w:p w14:paraId="7FD51C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eastAsia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hint="eastAsia" w:ascii="Cambria Math" w:hAnsi="Cambria Math"/>
                  <w:sz w:val="22"/>
                  <w:szCs w:val="22"/>
                </w:rPr>
                <m:t>(构建固定资产、无形资产支付的现金)</m:t>
              </m:r>
            </m:oMath>
            <w:r>
              <w:rPr>
                <w:rFonts w:hint="eastAsia"/>
                <w:sz w:val="22"/>
                <w:szCs w:val="22"/>
              </w:rPr>
              <w:t>/</w:t>
            </w:r>
            <m:oMath>
              <m:r>
                <m:rPr>
                  <m:sty m:val="p"/>
                </m:rPr>
                <w:rPr>
                  <w:rFonts w:hint="eastAsia" w:ascii="Cambria Math" w:hAnsi="Cambria Math"/>
                  <w:sz w:val="22"/>
                  <w:szCs w:val="22"/>
                </w:rPr>
                <m:t>(净固定资产</m:t>
              </m:r>
            </m:oMath>
            <w:r>
              <w:rPr>
                <w:rFonts w:hint="eastAsia"/>
                <w:sz w:val="22"/>
                <w:szCs w:val="22"/>
              </w:rPr>
              <w:t>）</w:t>
            </w:r>
          </w:p>
        </w:tc>
      </w:tr>
      <w:tr w14:paraId="70ABA7F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520F5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hire_gr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C7EFD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员工人数增长率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ED085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(本期员工数</w:t>
            </w:r>
            <m:oMath>
              <m:r>
                <m:rPr>
                  <m:sty m:val="p"/>
                </m:rPr>
                <w:rPr>
                  <w:rFonts w:hint="eastAsia" w:ascii="Cambria Math" w:hAnsi="Cambria Math"/>
                  <w:sz w:val="22"/>
                  <w:szCs w:val="22"/>
                </w:rPr>
                <m:t>−</m:t>
              </m:r>
            </m:oMath>
            <w:r>
              <w:rPr>
                <w:rFonts w:hint="eastAsia"/>
                <w:sz w:val="22"/>
                <w:szCs w:val="22"/>
              </w:rPr>
              <w:t>上期员工数)/上期员工数</w:t>
            </w:r>
          </w:p>
        </w:tc>
      </w:tr>
      <w:tr w14:paraId="5F3CB10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45718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hiregr_ia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C52DC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行业调整后员工人数变化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1D8A4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(公司hire_gr</w:t>
            </w:r>
            <m:oMath>
              <m:r>
                <m:rPr>
                  <m:sty m:val="p"/>
                </m:rPr>
                <w:rPr>
                  <w:rFonts w:hint="eastAsia" w:ascii="Cambria Math" w:hAnsi="Cambria Math"/>
                  <w:sz w:val="22"/>
                  <w:szCs w:val="22"/>
                </w:rPr>
                <m:t>−</m:t>
              </m:r>
            </m:oMath>
            <w:r>
              <w:rPr>
                <w:rFonts w:hint="eastAsia"/>
                <w:sz w:val="22"/>
                <w:szCs w:val="22"/>
              </w:rPr>
              <w:t>行业均值)/行业标准差</w:t>
            </w:r>
          </w:p>
        </w:tc>
      </w:tr>
      <w:tr w14:paraId="3ABDAA9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65F4C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pchcapx_ia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0F677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行业调整后资本支出变动率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A535A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(公司grCAPX</w:t>
            </w:r>
            <m:oMath>
              <m:r>
                <m:rPr>
                  <m:sty m:val="p"/>
                </m:rPr>
                <w:rPr>
                  <w:rFonts w:hint="eastAsia" w:ascii="Cambria Math" w:hAnsi="Cambria Math"/>
                  <w:sz w:val="22"/>
                  <w:szCs w:val="22"/>
                </w:rPr>
                <m:t>−</m:t>
              </m:r>
            </m:oMath>
            <w:r>
              <w:rPr>
                <w:rFonts w:hint="eastAsia"/>
                <w:sz w:val="22"/>
                <w:szCs w:val="22"/>
              </w:rPr>
              <w:t>行业均值)/行业标准差</w:t>
            </w:r>
          </w:p>
        </w:tc>
      </w:tr>
      <w:tr w14:paraId="320EB8E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945AF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lgr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15BEE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长期负债增长率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EE27E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长期负债的年度变化率</w:t>
            </w:r>
          </w:p>
        </w:tc>
      </w:tr>
      <w:tr w14:paraId="3183EE0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9D806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orgcap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F7A75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组织资本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80473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O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it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/>
                    <w:sz w:val="22"/>
                    <w:szCs w:val="22"/>
                  </w:rPr>
                  <m:t>=(1−</m:t>
                </m:r>
                <m:sSub>
                  <m:sSub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δ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O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/>
                    <w:sz w:val="22"/>
                    <w:szCs w:val="22"/>
                  </w:rPr>
                  <m:t>)⋅</m:t>
                </m:r>
                <m:sSub>
                  <m:sSub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O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it−1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/>
                    <w:sz w:val="22"/>
                    <w:szCs w:val="22"/>
                  </w:rPr>
                  <m:t>+</m:t>
                </m:r>
                <m:f>
                  <m:f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SG</m:t>
                    </m:r>
                    <m:sSub>
                      <m:sSubP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A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i,t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cp</m:t>
                    </m:r>
                    <m:sSub>
                      <m:sSubP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i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t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den>
                </m:f>
              </m:oMath>
            </m:oMathPara>
          </w:p>
          <w:p w14:paraId="6DC883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销售、一般和管理费用（SGA）</w:t>
            </w:r>
          </w:p>
          <w:p w14:paraId="407625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Cpi：消费者价格指数</w:t>
            </w:r>
          </w:p>
          <w:p w14:paraId="0F8D20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g：公司层面SGA的平均增长率</w:t>
            </w:r>
          </w:p>
          <w:p w14:paraId="341CC2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hint="eastAsia" w:ascii="Cambria Math" w:hAnsi="Cambria Math"/>
                  <w:sz w:val="22"/>
                  <w:szCs w:val="22"/>
                </w:rPr>
                <m:t>δ</m:t>
              </m:r>
            </m:oMath>
            <w:r>
              <w:rPr>
                <w:rFonts w:hint="eastAsia"/>
                <w:sz w:val="22"/>
                <w:szCs w:val="22"/>
              </w:rPr>
              <w:t>设置为15%。来自Eisfeldt &amp; Papanikolaou (2013) 的基准设定：</w:t>
            </w:r>
          </w:p>
          <w:p w14:paraId="4E6064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O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  <w:sz w:val="22"/>
                        <w:szCs w:val="22"/>
                      </w:rPr>
                      <m:t>0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SG</m:t>
                    </m:r>
                    <m:sSub>
                      <m:sSubP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A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  <m:t>1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g+</m:t>
                    </m:r>
                    <m:sSub>
                      <m:sSubP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δ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O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den>
                </m:f>
              </m:oMath>
            </m:oMathPara>
          </w:p>
          <w:p w14:paraId="630AD4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缩放与行业调整：将组织资本Oit除以公司的账面总资产（zzc），得到比率O/K。为了控制行业间会计处理差异，在每个行业内（d4[‘industry’]）对公司按O/K 进行五分位排序。排名越高越好最终构建的投资组合是基于行业内相对排名，而非绝对数值。</w:t>
            </w:r>
          </w:p>
        </w:tc>
      </w:tr>
      <w:tr w14:paraId="6A29557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D5059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depr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E7799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折旧率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D37A1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折旧/固定资产</w:t>
            </w:r>
          </w:p>
        </w:tc>
      </w:tr>
      <w:tr w14:paraId="5EF8522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EBFD0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tang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FA7FF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有形资产比例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AF476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/>
                    <w:sz w:val="22"/>
                    <w:szCs w:val="22"/>
                  </w:rPr>
                  <m:t>Tangibility=</m:t>
                </m:r>
                <m:f>
                  <m:f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0.715×Receivables+0.547×Inventory+0.535×Capital+Cash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TotalAssets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den>
                </m:f>
              </m:oMath>
            </m:oMathPara>
          </w:p>
          <w:p w14:paraId="6F7E65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hint="default" w:ascii="Cambria Math" w:hAnsi="Cambria Math"/>
                  <w:sz w:val="22"/>
                  <w:szCs w:val="22"/>
                </w:rPr>
                <m:t>Receivables</m:t>
              </m:r>
            </m:oMath>
            <w:r>
              <w:rPr>
                <w:rFonts w:hint="eastAsia"/>
                <w:sz w:val="22"/>
                <w:szCs w:val="22"/>
              </w:rPr>
              <w:t>应收账款，</w:t>
            </w:r>
            <m:oMath>
              <m:r>
                <m:rPr>
                  <m:sty m:val="p"/>
                </m:rPr>
                <w:rPr>
                  <w:rFonts w:hint="default" w:ascii="Cambria Math" w:hAnsi="Cambria Math"/>
                  <w:sz w:val="22"/>
                  <w:szCs w:val="22"/>
                </w:rPr>
                <m:t>Inventory</m:t>
              </m:r>
            </m:oMath>
            <w:r>
              <w:rPr>
                <w:rFonts w:hint="eastAsia"/>
                <w:sz w:val="22"/>
                <w:szCs w:val="22"/>
              </w:rPr>
              <w:t>存货，</w:t>
            </w:r>
            <m:oMath>
              <m:r>
                <m:rPr>
                  <m:sty m:val="p"/>
                </m:rPr>
                <w:rPr>
                  <w:rFonts w:hint="default" w:ascii="Cambria Math" w:hAnsi="Cambria Math"/>
                  <w:sz w:val="22"/>
                  <w:szCs w:val="22"/>
                </w:rPr>
                <m:t>Capital</m:t>
              </m:r>
            </m:oMath>
            <w:r>
              <w:rPr>
                <w:rFonts w:hint="eastAsia"/>
                <w:sz w:val="22"/>
                <w:szCs w:val="22"/>
              </w:rPr>
              <w:t>固定资产</w:t>
            </w:r>
          </w:p>
        </w:tc>
      </w:tr>
      <w:tr w14:paraId="2A597B1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773C0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pchdepr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E9CEE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折旧变动率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57FFE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折旧率的年度变化</w:t>
            </w:r>
          </w:p>
        </w:tc>
      </w:tr>
      <w:tr w14:paraId="130B165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64C01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rsup</w:t>
            </w:r>
          </w:p>
        </w:tc>
        <w:tc>
          <w:tcPr>
            <w:tcW w:w="2156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8C46C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收入惊喜</w:t>
            </w:r>
          </w:p>
        </w:tc>
        <w:tc>
          <w:tcPr>
            <w:tcW w:w="5669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27C92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RevenueSurprise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i,t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ActualRevenue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i,t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  <w:sz w:val="22"/>
                        <w:szCs w:val="22"/>
                      </w:rPr>
                      <m:t>−</m:t>
                    </m:r>
                    <m:sSub>
                      <m:sSubP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ExpectedRevenue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i,t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Price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i,t−1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den>
                </m:f>
              </m:oMath>
            </m:oMathPara>
          </w:p>
          <w:p w14:paraId="5012FD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原文</w:t>
            </w:r>
            <m:oMath>
              <m:sSub>
                <m:sSubP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  <w:szCs w:val="22"/>
                    </w:rPr>
                    <m:t>ExpectedRevenue</m:t>
                  </m: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  <w:szCs w:val="22"/>
                    </w:rPr>
                    <m:t>i,t</m:t>
                  </m: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sub>
              </m:sSub>
            </m:oMath>
            <w:r>
              <w:rPr>
                <w:rFonts w:hint="eastAsia"/>
                <w:sz w:val="22"/>
                <w:szCs w:val="22"/>
              </w:rPr>
              <w:t>是基于IBES公告日前最近的分析师的一致预期。不过这个在A股不可得，问AI说可以用上个月的营收(d4[‘yysr’])去替换。</w:t>
            </w:r>
          </w:p>
          <w:p w14:paraId="03842E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  <w:sz w:val="22"/>
                        <w:szCs w:val="22"/>
                      </w:rPr>
                      <m:t>SURG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i,t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  <m:t>Revenue per share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i,t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−E(</m:t>
                    </m:r>
                    <m:sSub>
                      <m:sSubP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  <m:t>Revenue per share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i,t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  <w:sz w:val="22"/>
                        <w:szCs w:val="22"/>
                      </w:rPr>
                      <m:t>)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S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i,t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den>
                </m:f>
              </m:oMath>
            </m:oMathPara>
          </w:p>
          <w:p w14:paraId="01053B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Revenuepershare是公司i的每股收入</w:t>
            </w:r>
          </w:p>
          <w:p w14:paraId="40D512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E(Revenue per share是预期每股收入</w:t>
            </w:r>
          </w:p>
          <w:p w14:paraId="4930B4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Si,t是预期收入的标准误</w:t>
            </w:r>
          </w:p>
          <w:p w14:paraId="6C8363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作者使用季节性随机游走模型，并加入一个漂移项 来估计预期收入：</w:t>
            </w:r>
          </w:p>
          <w:p w14:paraId="079181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/>
                    <w:sz w:val="22"/>
                    <w:szCs w:val="22"/>
                  </w:rPr>
                  <m:t>E(Revenue per shar</m:t>
                </m:r>
                <m:sSub>
                  <m:sSub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i,t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/>
                    <w:sz w:val="22"/>
                    <w:szCs w:val="22"/>
                  </w:rPr>
                  <m:t>)=Revenue per shar</m:t>
                </m:r>
                <m:sSub>
                  <m:sSub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i,t−4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/>
                    <w:sz w:val="22"/>
                    <w:szCs w:val="22"/>
                  </w:rPr>
                  <m:t>+</m:t>
                </m:r>
                <m:sSubSup>
                  <m:sSubSup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D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i,t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revenue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p>
                </m:sSubSup>
              </m:oMath>
            </m:oMathPara>
          </w:p>
          <w:p w14:paraId="742056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m:oMathPara>
              <m:oMath>
                <m:sSubSup>
                  <m:sSubSup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D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i,t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revenue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p>
                </m:sSubSup>
                <m:r>
                  <m:rPr>
                    <m:sty m:val="p"/>
                  </m:rPr>
                  <w:rPr>
                    <w:rFonts w:hint="eastAsia" w:ascii="Cambria Math" w:hAnsi="Cambria Math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  <w:sz w:val="22"/>
                        <w:szCs w:val="22"/>
                      </w:rPr>
                      <m:t>1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  <w:sz w:val="22"/>
                        <w:szCs w:val="22"/>
                      </w:rPr>
                      <m:t>8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j=−1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  <w:sz w:val="22"/>
                        <w:szCs w:val="22"/>
                      </w:rPr>
                      <m:t>8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p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  <w:sz w:val="22"/>
                        <w:szCs w:val="22"/>
                      </w:rPr>
                      <m:t>(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</m:nary>
                <m:sSub>
                  <m:sSub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Revenue per share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i,t−j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/>
                    <w:sz w:val="22"/>
                    <w:szCs w:val="22"/>
                  </w:rPr>
                  <m:t>−</m:t>
                </m:r>
                <m:sSub>
                  <m:sSub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Revenue per share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i,t−j−4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/>
                    <w:sz w:val="22"/>
                    <w:szCs w:val="22"/>
                  </w:rPr>
                  <m:t>)</m:t>
                </m:r>
              </m:oMath>
            </m:oMathPara>
          </w:p>
          <w:p w14:paraId="179A7D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标准误 Si,trevenueSi,trevenue​ 是过去8个季度中收入预测误差的标准差</w:t>
            </w:r>
          </w:p>
          <w:p w14:paraId="1CBCD3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m:oMathPara>
              <m:oMath>
                <m:sSubSup>
                  <m:sSubSup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S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i,t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revenue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p>
                </m:sSubSup>
                <m:r>
                  <m:rPr>
                    <m:sty m:val="p"/>
                  </m:rPr>
                  <w:rPr>
                    <w:rFonts w:hint="eastAsia" w:ascii="Cambria Math" w:hAnsi="Cambria Math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  <w:sz w:val="22"/>
                        <w:szCs w:val="22"/>
                      </w:rPr>
                      <m:t>1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  <w:sz w:val="22"/>
                        <w:szCs w:val="22"/>
                      </w:rPr>
                      <m:t>7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den>
                </m:f>
                <m:rad>
                  <m:radPr>
                    <m:degHide m:val="1"/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radPr>
                  <m:deg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deg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j=1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  <m:t>8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up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  <m:t>(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e>
                    </m:nary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Revenue per shar</m:t>
                    </m:r>
                    <m:sSub>
                      <m:sSubP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e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i,t−j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−E(Revenue per shar</m:t>
                    </m:r>
                    <m:sSub>
                      <m:sSubP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e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i,t−j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  <w:sz w:val="22"/>
                        <w:szCs w:val="22"/>
                      </w:rPr>
                      <m:t>)</m:t>
                    </m:r>
                    <m:sSup>
                      <m:sSupP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  <m:t>)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  <m:t>2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</m:rad>
              </m:oMath>
            </m:oMathPara>
          </w:p>
        </w:tc>
      </w:tr>
      <w:tr w14:paraId="7DC732D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43" w:type="dxa"/>
            <w:gridSpan w:val="3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65DC75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Theme="minorEastAsia" w:hAnsiTheme="minorEastAsia" w:eastAsiaTheme="minorEastAsia" w:cstheme="minorEastAsia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0"/>
              </w:rPr>
              <w:t>3．风险与杠杆因子</w:t>
            </w:r>
          </w:p>
        </w:tc>
      </w:tr>
      <w:tr w14:paraId="0BAA88A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single" w:color="auto" w:sz="6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DF667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beta</w:t>
            </w:r>
          </w:p>
        </w:tc>
        <w:tc>
          <w:tcPr>
            <w:tcW w:w="2156" w:type="dxa"/>
            <w:tcBorders>
              <w:top w:val="single" w:color="auto" w:sz="6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0DE3A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市场Beta</w:t>
            </w:r>
          </w:p>
        </w:tc>
        <w:tc>
          <w:tcPr>
            <w:tcW w:w="5669" w:type="dxa"/>
            <w:tcBorders>
              <w:top w:val="single" w:color="auto" w:sz="6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86A68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使用排除了最小30%股票后的股票池（即全市场最大的70%股票，总市值排序）。</w:t>
            </w:r>
          </w:p>
          <w:p w14:paraId="254256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计算该股票池的市值加权月度投资组合收益率。</w:t>
            </w:r>
          </w:p>
          <w:p w14:paraId="7CEA82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从该收益率中减去一年期存款利率作为无风险利率，得到超额收益：</w:t>
            </w:r>
          </w:p>
          <w:p w14:paraId="4B8D6D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hint="default" w:ascii="Cambria Math" w:hAnsi="Cambria Math"/>
                    <w:sz w:val="22"/>
                    <w:szCs w:val="22"/>
                  </w:rPr>
                  <m:t>ri= a+β(rm−rf)+μ</m:t>
                </m:r>
              </m:oMath>
            </m:oMathPara>
          </w:p>
        </w:tc>
      </w:tr>
      <w:tr w14:paraId="09B1674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848EA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betasq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0523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Beta平方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D2684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市场Beta的平方</w:t>
            </w:r>
          </w:p>
        </w:tc>
      </w:tr>
      <w:tr w14:paraId="3F173AC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5D350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idiovol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6B107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特质波动率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08B3A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  <w:szCs w:val="22"/>
                    </w:rPr>
                    <m:t>R</m:t>
                  </m: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  <w:szCs w:val="22"/>
                    </w:rPr>
                    <m:t>i,t</m:t>
                  </m: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/>
                  <w:sz w:val="22"/>
                  <w:szCs w:val="22"/>
                </w:rPr>
                <m:t>=</m:t>
              </m:r>
              <m:sSub>
                <m:sSubP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  <w:szCs w:val="22"/>
                    </w:rPr>
                    <m:t>α</m:t>
                  </m: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  <w:szCs w:val="22"/>
                    </w:rPr>
                    <m:t>i</m:t>
                  </m: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  <w:szCs w:val="22"/>
                    </w:rPr>
                    <m:t>β</m:t>
                  </m: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  <w:szCs w:val="22"/>
                    </w:rPr>
                    <m:t>i</m:t>
                  </m: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sub>
              </m:sSub>
              <m:sSub>
                <m:sSubP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  <w:szCs w:val="22"/>
                    </w:rPr>
                    <m:t>R</m:t>
                  </m: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  <w:szCs w:val="22"/>
                    </w:rPr>
                    <m:t>m,t</m:t>
                  </m: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  <w:szCs w:val="22"/>
                    </w:rPr>
                    <m:t>ε</m:t>
                  </m: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  <w:szCs w:val="22"/>
                    </w:rPr>
                    <m:t>i,t</m:t>
                  </m: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sub>
              </m:sSub>
            </m:oMath>
            <w:r>
              <w:rPr>
                <w:rFonts w:hint="eastAsia"/>
                <w:sz w:val="22"/>
                <w:szCs w:val="22"/>
              </w:rPr>
              <w:t xml:space="preserve">  </w:t>
            </w:r>
            <m:oMath>
              <m:sSub>
                <m:sSubP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/>
                      <w:sz w:val="22"/>
                      <w:szCs w:val="22"/>
                    </w:rPr>
                    <m:t>idiovol</m:t>
                  </m: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  <w:szCs w:val="22"/>
                    </w:rPr>
                    <m:t>i</m:t>
                  </m: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/>
                  <w:sz w:val="22"/>
                  <w:szCs w:val="22"/>
                </w:rPr>
                <m:t>=std(</m:t>
              </m:r>
              <m:sSub>
                <m:sSubP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sSubPr>
                <m:e>
                  <m:acc>
                    <m:accPr>
                      <m:ctrlPr>
                        <w:rPr>
                          <w:rFonts w:hint="eastAsia" w:ascii="Cambria Math" w:hAnsi="Cambria Math"/>
                          <w:sz w:val="22"/>
                          <w:szCs w:val="22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2"/>
                          <w:szCs w:val="22"/>
                        </w:rPr>
                        <m:t>ϵ</m:t>
                      </m:r>
                      <m:ctrlPr>
                        <w:rPr>
                          <w:rFonts w:hint="eastAsia" w:ascii="Cambria Math" w:hAnsi="Cambria Math"/>
                          <w:sz w:val="22"/>
                          <w:szCs w:val="22"/>
                        </w:rPr>
                      </m:ctrlPr>
                    </m:e>
                  </m:acc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  <w:szCs w:val="22"/>
                    </w:rPr>
                    <m:t>i,t</m:t>
                  </m: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/>
                  <w:sz w:val="22"/>
                  <w:szCs w:val="22"/>
                </w:rPr>
                <m:t>)</m:t>
              </m:r>
            </m:oMath>
            <w:r>
              <w:rPr>
                <w:rFonts w:hint="eastAsia"/>
                <w:sz w:val="22"/>
                <w:szCs w:val="22"/>
              </w:rPr>
              <w:t xml:space="preserve">  </w:t>
            </w:r>
          </w:p>
          <w:p w14:paraId="485E09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用过去12个月的残差计算，市场指数收益率</w:t>
            </w:r>
          </w:p>
          <w:p w14:paraId="5AA320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股票收益率中无法被市场因子解释的部分的波动率</w:t>
            </w:r>
          </w:p>
        </w:tc>
      </w:tr>
      <w:tr w14:paraId="044FD9F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9363C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retvol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0C78F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收益率波动率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2CF00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过去12个月年化收益率标准差</w:t>
            </w:r>
          </w:p>
          <w:p w14:paraId="0A4AC4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  <w:sz w:val="22"/>
                        <w:szCs w:val="22"/>
                      </w:rPr>
                      <m:t>IdioVol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t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i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p>
                </m:sSubSup>
                <m:r>
                  <m:rPr>
                    <m:sty m:val="p"/>
                  </m:rPr>
                  <w:rPr>
                    <w:rFonts w:hint="eastAsia" w:ascii="Cambria Math" w:hAnsi="Cambria Math"/>
                    <w:sz w:val="22"/>
                    <w:szCs w:val="22"/>
                  </w:rPr>
                  <m:t>=</m:t>
                </m:r>
                <m:rad>
                  <m:radPr>
                    <m:degHide m:val="1"/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radPr>
                  <m:deg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  <w:sz w:val="22"/>
                        <w:szCs w:val="22"/>
                      </w:rPr>
                      <m:t>var(</m:t>
                    </m:r>
                    <m:sSubSup>
                      <m:sSubSupP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ε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t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i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up>
                    </m:sSubSup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  <w:sz w:val="22"/>
                        <w:szCs w:val="22"/>
                      </w:rPr>
                      <m:t>)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</m:rad>
              </m:oMath>
            </m:oMathPara>
          </w:p>
          <w:p w14:paraId="715927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窗口选择：12个月滚动</w:t>
            </w:r>
          </w:p>
        </w:tc>
      </w:tr>
      <w:tr w14:paraId="050FBED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08F74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mvel1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A68F2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流通市值对数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734F1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流通市值的自然对数</w:t>
            </w:r>
          </w:p>
        </w:tc>
      </w:tr>
      <w:tr w14:paraId="594D1C5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818E6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mve_ia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E3E06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行业调整后市值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C9488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(公司市值</w:t>
            </w:r>
            <m:oMath>
              <m:r>
                <m:rPr>
                  <m:sty m:val="p"/>
                </m:rPr>
                <w:rPr>
                  <w:rFonts w:hint="eastAsia" w:ascii="Cambria Math" w:hAnsi="Cambria Math"/>
                  <w:sz w:val="22"/>
                  <w:szCs w:val="22"/>
                </w:rPr>
                <m:t>−</m:t>
              </m:r>
            </m:oMath>
            <w:r>
              <w:rPr>
                <w:rFonts w:hint="eastAsia"/>
                <w:sz w:val="22"/>
                <w:szCs w:val="22"/>
              </w:rPr>
              <w:t>行业均值)/行业标准差</w:t>
            </w:r>
          </w:p>
        </w:tc>
      </w:tr>
      <w:tr w14:paraId="7D3EAAB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E45CD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age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6E532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上市年龄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1C568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2024年</w:t>
            </w:r>
            <m:oMath>
              <m:r>
                <m:rPr>
                  <m:sty m:val="p"/>
                </m:rPr>
                <w:rPr>
                  <w:rFonts w:hint="eastAsia" w:ascii="Cambria Math" w:hAnsi="Cambria Math"/>
                  <w:sz w:val="22"/>
                  <w:szCs w:val="22"/>
                </w:rPr>
                <m:t>−</m:t>
              </m:r>
            </m:oMath>
            <w:r>
              <w:rPr>
                <w:rFonts w:hint="eastAsia"/>
                <w:sz w:val="22"/>
                <w:szCs w:val="22"/>
              </w:rPr>
              <w:t>上市年份（Listdt）</w:t>
            </w:r>
          </w:p>
        </w:tc>
      </w:tr>
      <w:tr w14:paraId="7F44A49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827DB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lev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C0BD1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杠杆率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C76A9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总负债/总资产</w:t>
            </w:r>
          </w:p>
        </w:tc>
      </w:tr>
      <w:tr w14:paraId="6CE2ECB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76C44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currat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F9EDC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流动比率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C895D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流动资产/流动负债</w:t>
            </w:r>
          </w:p>
        </w:tc>
      </w:tr>
      <w:tr w14:paraId="786434A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8A0AF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quick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76A6B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速动比率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8A3A0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(流动资产</w:t>
            </w:r>
            <m:oMath>
              <m:r>
                <m:rPr>
                  <m:sty m:val="p"/>
                </m:rPr>
                <w:rPr>
                  <w:rFonts w:hint="eastAsia" w:ascii="Cambria Math" w:hAnsi="Cambria Math"/>
                  <w:sz w:val="22"/>
                  <w:szCs w:val="22"/>
                </w:rPr>
                <m:t>−</m:t>
              </m:r>
            </m:oMath>
            <w:r>
              <w:rPr>
                <w:rFonts w:hint="eastAsia"/>
                <w:sz w:val="22"/>
                <w:szCs w:val="22"/>
              </w:rPr>
              <w:t>存货)/流动负债</w:t>
            </w:r>
          </w:p>
        </w:tc>
      </w:tr>
      <w:tr w14:paraId="691014F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74582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cash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0B5D8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现金资产比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B4109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Cash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i,t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Ca</m:t>
                        </m:r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  <m:t xml:space="preserve">sh 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and</m:t>
                        </m:r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S</m:t>
                        </m:r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  <m:t>h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ort</m:t>
                        </m:r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TermInvestments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i,t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TotalAssets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i,t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den>
                </m:f>
              </m:oMath>
            </m:oMathPara>
          </w:p>
        </w:tc>
      </w:tr>
      <w:tr w14:paraId="1B4C64D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9011C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cashdebt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AA2B9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现金流负债比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FA0EA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经营现金流/总负债</w:t>
            </w:r>
          </w:p>
        </w:tc>
      </w:tr>
      <w:tr w14:paraId="2BB56FC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CC5E2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secured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E886F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有担保债务比例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339E4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hint="default" w:ascii="Cambria Math" w:hAnsi="Cambria Math"/>
                    <w:sz w:val="22"/>
                    <w:szCs w:val="22"/>
                  </w:rPr>
                  <m:t>SecuredDebt=</m:t>
                </m:r>
                <m:f>
                  <m:f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SecuredDebt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TotalDebt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den>
                </m:f>
              </m:oMath>
            </m:oMathPara>
          </w:p>
          <w:p w14:paraId="1EFB59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债权人对特定资产有优先求偿权的债务抵押借款 + 质押借款 + 保证借款 + 有担保的应付债券</w:t>
            </w:r>
          </w:p>
        </w:tc>
      </w:tr>
      <w:tr w14:paraId="0DB82A0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A8EE6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securedind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7369D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有担保债务虚拟变量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53C84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存在担保债务取1</w:t>
            </w:r>
          </w:p>
        </w:tc>
      </w:tr>
      <w:tr w14:paraId="3A99626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D30B1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realestate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003F7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投资性房地产占比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332B0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投资性房地产/总资产</w:t>
            </w:r>
          </w:p>
        </w:tc>
      </w:tr>
      <w:tr w14:paraId="68ECF63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96001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convind</w:t>
            </w:r>
          </w:p>
        </w:tc>
        <w:tc>
          <w:tcPr>
            <w:tcW w:w="2156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32AA2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可转债虚拟变量</w:t>
            </w:r>
          </w:p>
        </w:tc>
        <w:tc>
          <w:tcPr>
            <w:tcW w:w="5669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59B7B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存在可转债取1</w:t>
            </w:r>
          </w:p>
        </w:tc>
      </w:tr>
      <w:tr w14:paraId="602A0BE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43" w:type="dxa"/>
            <w:gridSpan w:val="3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5AE0606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 w:asciiTheme="minorEastAsia" w:hAnsiTheme="minorEastAsia" w:eastAsiaTheme="minorEastAsia" w:cstheme="minorEastAsia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4"/>
              </w:rPr>
              <w:t>4．动量因子</w:t>
            </w:r>
          </w:p>
        </w:tc>
      </w:tr>
      <w:tr w14:paraId="1123500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single" w:color="auto" w:sz="6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817F3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mom1m</w:t>
            </w:r>
          </w:p>
        </w:tc>
        <w:tc>
          <w:tcPr>
            <w:tcW w:w="2156" w:type="dxa"/>
            <w:tcBorders>
              <w:top w:val="single" w:color="auto" w:sz="6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9F42A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1个月动量</w:t>
            </w:r>
          </w:p>
        </w:tc>
        <w:tc>
          <w:tcPr>
            <w:tcW w:w="5669" w:type="dxa"/>
            <w:tcBorders>
              <w:top w:val="single" w:color="auto" w:sz="6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702CA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过去1个月累计收益率</w:t>
            </w:r>
          </w:p>
        </w:tc>
      </w:tr>
      <w:tr w14:paraId="1CC4D6E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2C143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mom6m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B3FD4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6个月动量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AC2C3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过去6个月（跳过最近1个月）累计收益率</w:t>
            </w:r>
          </w:p>
        </w:tc>
      </w:tr>
      <w:tr w14:paraId="5D893B3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67536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mom12m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9C463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12个月动量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E23C6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过去12个月（跳过最近1个月）累计收益率</w:t>
            </w:r>
          </w:p>
        </w:tc>
      </w:tr>
      <w:tr w14:paraId="5AFFE95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4B207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mom36m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CCCDA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36个月动量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9DF6A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过去36个月（跳过最近1个月）累计收益率</w:t>
            </w:r>
          </w:p>
        </w:tc>
      </w:tr>
      <w:tr w14:paraId="55AFA83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6A6B4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chmom6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4665C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6个月动量变动率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608AB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6个月动量的变化</w:t>
            </w:r>
          </w:p>
        </w:tc>
      </w:tr>
      <w:tr w14:paraId="1B92521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ED492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indmom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C13A0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行业动量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7F68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在每个月底t，计算每个行业投资组合在过去J个月（排除最近1个月，即t-2至t-J-1月）的累计收益率</w:t>
            </w:r>
          </w:p>
          <w:p w14:paraId="378F9D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基于过去12个月（排除最近1个月）的行业动量策略效果最强。</w:t>
            </w:r>
          </w:p>
        </w:tc>
      </w:tr>
      <w:tr w14:paraId="79A8B16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76307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maxret</w:t>
            </w:r>
          </w:p>
        </w:tc>
        <w:tc>
          <w:tcPr>
            <w:tcW w:w="2156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D1FE1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最大月收益率</w:t>
            </w:r>
          </w:p>
        </w:tc>
        <w:tc>
          <w:tcPr>
            <w:tcW w:w="5669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B1003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MAX 被用作衡量股票是否具有“彩票属性”的代理变量。MAX 越高的股票，未来一个月的收益率越低；</w:t>
            </w:r>
          </w:p>
          <w:p w14:paraId="505A7D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这一效应在控制了规模、账面市值比、动量、反转、流动性、波动率、偏度等多个变量后依然显著；</w:t>
            </w:r>
          </w:p>
          <w:p w14:paraId="3A9823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MAX 的引入甚至逆转了 Ang et al. (2006, 2009) 中 idiosyncratic volatility 与收益率之间的负相关关系每月计算一次，使用的是前一个月的日收益率数据</w:t>
            </w:r>
          </w:p>
        </w:tc>
      </w:tr>
      <w:tr w14:paraId="5BB43D7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43" w:type="dxa"/>
            <w:gridSpan w:val="3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AB24EB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Theme="minorEastAsia" w:hAnsiTheme="minorEastAsia" w:eastAsiaTheme="minorEastAsia" w:cstheme="minorEastAsia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0"/>
              </w:rPr>
              <w:t>5．流动性与交易因子</w:t>
            </w:r>
          </w:p>
        </w:tc>
      </w:tr>
      <w:tr w14:paraId="2EAFFD5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single" w:color="auto" w:sz="6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CA7B0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turn</w:t>
            </w:r>
          </w:p>
        </w:tc>
        <w:tc>
          <w:tcPr>
            <w:tcW w:w="2156" w:type="dxa"/>
            <w:tcBorders>
              <w:top w:val="single" w:color="auto" w:sz="6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826A6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月度换手率</w:t>
            </w:r>
          </w:p>
        </w:tc>
        <w:tc>
          <w:tcPr>
            <w:tcW w:w="5669" w:type="dxa"/>
            <w:tcBorders>
              <w:top w:val="single" w:color="auto" w:sz="6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DDBA7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月度成交量/流通股本</w:t>
            </w:r>
          </w:p>
        </w:tc>
      </w:tr>
      <w:tr w14:paraId="691491E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096BD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dolvol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1F7BC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交易金额对数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809BF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交易金额的自然对数</w:t>
            </w:r>
          </w:p>
        </w:tc>
      </w:tr>
      <w:tr w14:paraId="17560EE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52D5A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baspread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7E575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买卖价差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8EBC0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(月收盘价-月开盘价)/月收盘价</w:t>
            </w:r>
          </w:p>
        </w:tc>
      </w:tr>
      <w:tr w14:paraId="6E73835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B86B1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zerotrade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9657E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零交易天数调整后的换手率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5B9DD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x表示计算周期(1、6或12个月);</w:t>
            </w:r>
          </w:p>
          <w:p w14:paraId="666EE2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Number of zero daily volumes:在过去x个月中交易量为零的天数；</w:t>
            </w:r>
          </w:p>
          <w:p w14:paraId="46ED6F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x-month turnover:过去x个月的总换手率，计算公式为：</w:t>
            </w:r>
          </w:p>
          <w:p w14:paraId="1DD3E5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/>
                    <w:sz w:val="22"/>
                    <w:szCs w:val="22"/>
                  </w:rPr>
                  <m:t>LMx=</m:t>
                </m:r>
                <m:d>
                  <m:dPr>
                    <m:begChr m:val="["/>
                    <m:endChr m:val="]"/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Number</m:t>
                        </m:r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of</m:t>
                        </m:r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zero</m:t>
                        </m:r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daily</m:t>
                        </m:r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volumes</m:t>
                        </m:r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in</m:t>
                        </m:r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prior</m:t>
                        </m:r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x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hint="eastAsia" w:ascii="Cambria Math" w:hAnsi="Cambria Math"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2"/>
                                <w:szCs w:val="22"/>
                              </w:rPr>
                              <m:t>1/(x−monthturnover)</m:t>
                            </m:r>
                            <m:ctrlPr>
                              <w:rPr>
                                <w:rFonts w:hint="eastAsia" w:ascii="Cambria Math" w:hAnsi="Cambria Math"/>
                                <w:sz w:val="22"/>
                                <w:szCs w:val="22"/>
                              </w:rPr>
                            </m:ctrlP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/>
                                <w:sz w:val="22"/>
                                <w:szCs w:val="22"/>
                              </w:rPr>
                              <m:t>Deflator</m:t>
                            </m:r>
                            <m:ctrlPr>
                              <w:rPr>
                                <w:rFonts w:hint="eastAsia" w:ascii="Cambria Math" w:hAnsi="Cambria Math"/>
                                <w:sz w:val="22"/>
                                <w:szCs w:val="22"/>
                              </w:rPr>
                            </m:ctrlPr>
                          </m:den>
                        </m:f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e>
                      <m:e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e>
                    </m:eqAr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eastAsia" w:ascii="Cambria Math" w:hAnsi="Cambria Math"/>
                    <w:sz w:val="22"/>
                    <w:szCs w:val="22"/>
                  </w:rPr>
                  <m:t>×</m:t>
                </m:r>
                <m:f>
                  <m:f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  <w:sz w:val="22"/>
                        <w:szCs w:val="22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1x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NoTD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eastAsia" w:ascii="Cambria Math" w:hAnsi="Cambria Math"/>
                    <w:sz w:val="22"/>
                    <w:szCs w:val="22"/>
                  </w:rPr>
                  <m:t xml:space="preserve">  </m:t>
                </m:r>
              </m:oMath>
            </m:oMathPara>
          </w:p>
          <w:p w14:paraId="65150A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用于在零交易日数相同时，区分换手率不同的股票；</w:t>
            </w:r>
          </w:p>
          <w:p w14:paraId="734BEE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NoTD:市场在过去x个月中的总交易日数；</w:t>
            </w:r>
          </w:p>
          <w:p w14:paraId="42FD2B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21TD:标准化因子，将每月交易日数标准化为21天，便于跨期比较；</w:t>
            </w:r>
          </w:p>
          <w:p w14:paraId="058586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Deflator 是一个常数，确保调整项介于 0 和 1 之间。</w:t>
            </w:r>
          </w:p>
        </w:tc>
      </w:tr>
      <w:tr w14:paraId="484B51D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083C2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chcsho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9CE82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交易股数变动率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27973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6个月滚动窗口</w:t>
            </w:r>
          </w:p>
        </w:tc>
      </w:tr>
      <w:tr w14:paraId="3EB4C21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C8F48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std_dolvol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FD09A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成交额波动率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0B584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过去12个月滚动窗口</w:t>
            </w:r>
          </w:p>
        </w:tc>
      </w:tr>
      <w:tr w14:paraId="0F1F7E7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78755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std_turn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DE926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换手率波动率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4745C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过去12个月滚动窗口</w:t>
            </w:r>
          </w:p>
        </w:tc>
      </w:tr>
      <w:tr w14:paraId="11BBC48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6439C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ill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AD421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Amihud非流动性指标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70EEA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  <w:sz w:val="22"/>
                        <w:szCs w:val="22"/>
                      </w:rPr>
                      <m:t>ill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i,m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/>
                    <w:sz w:val="22"/>
                    <w:szCs w:val="22"/>
                  </w:rPr>
                  <m:t>=</m:t>
                </m:r>
                <m:d>
                  <m:d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  <m:t>1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hint="eastAsia" w:ascii="Cambria Math" w:hAnsi="Cambria Math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2"/>
                                <w:szCs w:val="22"/>
                              </w:rPr>
                              <m:t>N</m:t>
                            </m:r>
                            <m:ctrlPr>
                              <w:rPr>
                                <w:rFonts w:hint="eastAsia" w:ascii="Cambria Math" w:hAnsi="Cambria Math"/>
                                <w:sz w:val="22"/>
                                <w:szCs w:val="22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2"/>
                                <w:szCs w:val="22"/>
                              </w:rPr>
                              <m:t>m</m:t>
                            </m:r>
                            <m:ctrlPr>
                              <w:rPr>
                                <w:rFonts w:hint="eastAsia" w:ascii="Cambria Math" w:hAnsi="Cambria Math"/>
                                <w:sz w:val="22"/>
                                <w:szCs w:val="22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den>
                    </m:f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naryPr>
                      <m:sub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ub>
                      <m:sup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up>
                      <m:e>
                        <m:f>
                          <m:fPr>
                            <m:ctrlPr>
                              <w:rPr>
                                <w:rFonts w:hint="eastAsia" w:ascii="Cambria Math" w:hAnsi="Cambria Math"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/>
                                <w:sz w:val="22"/>
                                <w:szCs w:val="22"/>
                              </w:rPr>
                              <m:t>|</m:t>
                            </m:r>
                            <m:sSub>
                              <m:sSubPr>
                                <m:ctrlPr>
                                  <w:rPr>
                                    <w:rFonts w:hint="eastAsia" w:ascii="Cambria Math" w:hAnsi="Cambria Math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2"/>
                                    <w:szCs w:val="22"/>
                                  </w:rPr>
                                  <m:t>R</m:t>
                                </m:r>
                                <m:ctrlPr>
                                  <w:rPr>
                                    <w:rFonts w:hint="eastAsia" w:ascii="Cambria Math" w:hAnsi="Cambria Math"/>
                                    <w:sz w:val="22"/>
                                    <w:szCs w:val="22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  <m:ctrlPr>
                                  <w:rPr>
                                    <w:rFonts w:hint="eastAsia" w:ascii="Cambria Math" w:hAnsi="Cambria Math"/>
                                    <w:sz w:val="22"/>
                                    <w:szCs w:val="22"/>
                                  </w:rPr>
                                </m:ctrlP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/>
                                <w:sz w:val="22"/>
                                <w:szCs w:val="22"/>
                              </w:rPr>
                              <m:t>|</m:t>
                            </m:r>
                            <m:ctrlPr>
                              <w:rPr>
                                <w:rFonts w:hint="eastAsia" w:ascii="Cambria Math" w:hAnsi="Cambria Math"/>
                                <w:sz w:val="22"/>
                                <w:szCs w:val="22"/>
                              </w:rPr>
                            </m:ctrlP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hint="eastAsia" w:ascii="Cambria Math" w:hAnsi="Cambria Math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hint="eastAsia" w:ascii="Cambria Math" w:hAnsi="Cambria Math"/>
                                    <w:sz w:val="22"/>
                                    <w:szCs w:val="22"/>
                                  </w:rPr>
                                  <m:t>DollarVol</m:t>
                                </m:r>
                                <m:ctrlPr>
                                  <w:rPr>
                                    <w:rFonts w:hint="eastAsia" w:ascii="Cambria Math" w:hAnsi="Cambria Math"/>
                                    <w:sz w:val="22"/>
                                    <w:szCs w:val="22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  <m:ctrlPr>
                                  <w:rPr>
                                    <w:rFonts w:hint="eastAsia" w:ascii="Cambria Math" w:hAnsi="Cambria Math"/>
                                    <w:sz w:val="22"/>
                                    <w:szCs w:val="22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eastAsia" w:ascii="Cambria Math" w:hAnsi="Cambria Math"/>
                                <w:sz w:val="22"/>
                                <w:szCs w:val="22"/>
                              </w:rPr>
                            </m:ctrlPr>
                          </m:den>
                        </m:f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e>
                    </m:nary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eastAsia" w:ascii="Cambria Math" w:hAnsi="Cambria Math"/>
                    <w:sz w:val="22"/>
                    <w:szCs w:val="22"/>
                  </w:rPr>
                  <m:t>×1</m:t>
                </m:r>
                <m:sSup>
                  <m:sSup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  <w:sz w:val="22"/>
                        <w:szCs w:val="22"/>
                      </w:rPr>
                      <m:t>0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  <w:sz w:val="22"/>
                        <w:szCs w:val="22"/>
                      </w:rPr>
                      <m:t>6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p>
                </m:sSup>
              </m:oMath>
            </m:oMathPara>
          </w:p>
          <w:p w14:paraId="024B0F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  <w:szCs w:val="22"/>
                    </w:rPr>
                    <m:t>N</m:t>
                  </m: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  <w:szCs w:val="22"/>
                    </w:rPr>
                    <m:t>m</m:t>
                  </m: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sub>
              </m:sSub>
            </m:oMath>
            <w:r>
              <w:rPr>
                <w:rFonts w:hint="eastAsia"/>
                <w:sz w:val="22"/>
                <w:szCs w:val="22"/>
              </w:rPr>
              <w:t>：月度，</w:t>
            </w:r>
            <m:oMath>
              <m:sSub>
                <m:sSubP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/>
                      <w:sz w:val="22"/>
                      <w:szCs w:val="22"/>
                    </w:rPr>
                    <m:t>DollarVol</m:t>
                  </m: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  <w:szCs w:val="22"/>
                    </w:rPr>
                    <m:t>t</m:t>
                  </m: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sub>
              </m:sSub>
            </m:oMath>
            <w:r>
              <w:rPr>
                <w:rFonts w:hint="eastAsia"/>
                <w:sz w:val="22"/>
                <w:szCs w:val="22"/>
              </w:rPr>
              <w:t>：成交额 ，</w:t>
            </w:r>
            <m:oMath>
              <m:r>
                <m:rPr>
                  <m:sty m:val="p"/>
                </m:rPr>
                <w:rPr>
                  <w:rFonts w:hint="eastAsia" w:ascii="Cambria Math" w:hAnsi="Cambria Math"/>
                  <w:sz w:val="22"/>
                  <w:szCs w:val="22"/>
                </w:rPr>
                <m:t>|</m:t>
              </m:r>
              <m:sSub>
                <m:sSubP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  <w:szCs w:val="22"/>
                    </w:rPr>
                    <m:t>R</m:t>
                  </m: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  <w:szCs w:val="22"/>
                    </w:rPr>
                    <m:t>t</m:t>
                  </m: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/>
                  <w:sz w:val="22"/>
                  <w:szCs w:val="22"/>
                </w:rPr>
                <m:t>|</m:t>
              </m:r>
            </m:oMath>
            <w:r>
              <w:rPr>
                <w:rFonts w:hint="eastAsia"/>
                <w:sz w:val="22"/>
                <w:szCs w:val="22"/>
              </w:rPr>
              <w:t>：收益率绝对值</w:t>
            </w:r>
          </w:p>
          <w:p w14:paraId="149ACD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一单位的成交额带来了多少收益率的变化（后面加个缩放）也可以直接月度收益率除于月度成交额</w:t>
            </w:r>
          </w:p>
        </w:tc>
      </w:tr>
      <w:tr w14:paraId="66AD41D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B703F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aeavol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C316E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公告异常交易量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F74D5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hint="default" w:ascii="Cambria Math" w:hAnsi="Cambria Math"/>
                    <w:sz w:val="22"/>
                    <w:szCs w:val="22"/>
                  </w:rPr>
                  <m:t>VOLUM</m:t>
                </m:r>
                <m:sSub>
                  <m:sSub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j,t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Av</m:t>
                    </m:r>
                    <m:sSub>
                      <m:sSubP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g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d=[−1,+1]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[VO</m:t>
                    </m:r>
                    <m:sSub>
                      <m:sSubP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L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j,t,d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  <w:sz w:val="22"/>
                        <w:szCs w:val="22"/>
                      </w:rPr>
                      <m:t>]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Av</m:t>
                    </m:r>
                    <m:sSub>
                      <m:sSubP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g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d=[−63,−8]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[VO</m:t>
                    </m:r>
                    <m:sSub>
                      <m:sSubP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L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j,t,d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  <w:sz w:val="22"/>
                        <w:szCs w:val="22"/>
                      </w:rPr>
                      <m:t>]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eastAsia" w:ascii="Cambria Math" w:hAnsi="Cambria Math"/>
                    <w:sz w:val="22"/>
                    <w:szCs w:val="22"/>
                  </w:rPr>
                  <m:t>−1</m:t>
                </m:r>
              </m:oMath>
            </m:oMathPara>
          </w:p>
          <w:p w14:paraId="601DB2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分子是对股票j在第t个季度的公告事件窗口（3天）内的每日交易股数（VOL）求平均值；分母是对股票j在第t个季度的基准窗口（56天）内的每日交易股数求平均值</w:t>
            </w:r>
          </w:p>
          <w:p w14:paraId="6E4E33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减去1： 然后从这个比率中减去1。如果结果等于0，说明公告期间交易量与正常水平无异。如果结果大于0，说明公告期间出现了异常高的交易量（即“高交易量”）。</w:t>
            </w:r>
          </w:p>
          <w:p w14:paraId="492334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如果结果小于0，说明公告期间交易量低于正常水平</w:t>
            </w:r>
          </w:p>
        </w:tc>
      </w:tr>
      <w:tr w14:paraId="14FB4AD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FC487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ear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185F6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盈余公告异常收益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B43BD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EAR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i,q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/>
                    <w:sz w:val="22"/>
                    <w:szCs w:val="22"/>
                  </w:rPr>
                  <m:t xml:space="preserve"> = </m:t>
                </m:r>
                <m:nary>
                  <m:naryPr>
                    <m:chr m:val="∏"/>
                    <m:limLoc m:val="undOvr"/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j = t−1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t+1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p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  <w:sz w:val="22"/>
                        <w:szCs w:val="22"/>
                      </w:rPr>
                      <m:t>(1+</m:t>
                    </m:r>
                    <m:sSub>
                      <m:sSubP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R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i,j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  <w:sz w:val="22"/>
                        <w:szCs w:val="22"/>
                      </w:rPr>
                      <m:t>)−</m:t>
                    </m:r>
                    <m:nary>
                      <m:naryPr>
                        <m:chr m:val="∏"/>
                        <m:limLoc m:val="undOvr"/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j = t−1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t+1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up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  <m:t>(1+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2"/>
                                <w:szCs w:val="22"/>
                              </w:rPr>
                              <m:t>FF</m:t>
                            </m:r>
                            <m:ctrlPr>
                              <w:rPr>
                                <w:rFonts w:hint="eastAsia" w:ascii="Cambria Math" w:hAnsi="Cambria Math"/>
                                <w:sz w:val="22"/>
                                <w:szCs w:val="22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2"/>
                                <w:szCs w:val="22"/>
                              </w:rPr>
                              <m:t>j</m:t>
                            </m:r>
                            <m:ctrlPr>
                              <w:rPr>
                                <w:rFonts w:hint="eastAsia" w:ascii="Cambria Math" w:hAnsi="Cambria Math"/>
                                <w:sz w:val="22"/>
                                <w:szCs w:val="22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  <m:t>)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e>
                    </m:nary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</m:nary>
              </m:oMath>
            </m:oMathPara>
          </w:p>
          <w:p w14:paraId="10BF2F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其中：</w:t>
            </w:r>
          </w:p>
          <w:p w14:paraId="11964A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t是公司i在季度q的盈余公告日期；</w:t>
            </w:r>
          </w:p>
          <w:p w14:paraId="4DB729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Ri,j是股票i在日期j的日收益率；</w:t>
            </w:r>
          </w:p>
          <w:p w14:paraId="06D0BB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FFj是股票i所属的规模与账面市值比投资组合在日期j的收益率。</w:t>
            </w:r>
          </w:p>
          <w:p w14:paraId="10C152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计算步骤：</w:t>
            </w:r>
          </w:p>
          <w:p w14:paraId="637D7C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确定盈余公告日：获取每家公司在每个季度的盈余公告日期（变量exposedate）；获取股票收益率：获取股票在公告日前后各一天的日收益率。构建基准投资组合：</w:t>
            </w:r>
          </w:p>
          <w:p w14:paraId="602F61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根据 Fama &amp; French (1992) 的方法，将所有股票按市值（规模）的中位数分为两组（小/大）；再按账面市值比（BM）的三分位数分为三组（低/中/高）；交叉形成6个投资组合（2×3）。每个组合的日收益率采用价值加权计算。每个股票根据其规模与账面市值比被分配到其中一个组合，其对应组合的日收益率即为Fj。</w:t>
            </w:r>
          </w:p>
          <w:p w14:paraId="14B682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（为了减少计算量，在分配组合的时候可以用月度数据）计算累积收益率：计算股票在三天窗口内的累积收益率：∏j=t−1t+1(1+Ri,j)；计算对应 Fama-French 组合在相同窗口内的累积收益率：∏j=t−1t+1(1+FFj)。</w:t>
            </w:r>
          </w:p>
          <w:p w14:paraId="38C5BD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计算 EAR：将两者相减，得到三天窗口的异常收益率。</w:t>
            </w:r>
          </w:p>
        </w:tc>
      </w:tr>
      <w:tr w14:paraId="73C8C1D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749EC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price_delay</w:t>
            </w:r>
          </w:p>
        </w:tc>
        <w:tc>
          <w:tcPr>
            <w:tcW w:w="2156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162D7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价格延迟</w:t>
            </w:r>
          </w:p>
        </w:tc>
        <w:tc>
          <w:tcPr>
            <w:tcW w:w="5669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7E87B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hint="default" w:ascii="Cambria Math" w:hAnsi="Cambria Math"/>
                    <w:sz w:val="22"/>
                    <w:szCs w:val="22"/>
                  </w:rPr>
                  <m:t>PriceDela</m:t>
                </m:r>
                <m:sSub>
                  <m:sSub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y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i,t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/>
                    <w:sz w:val="22"/>
                    <w:szCs w:val="22"/>
                  </w:rPr>
                  <m:t>=1−</m:t>
                </m:r>
                <m:sSubSup>
                  <m:sSubSup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R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i,t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  <w:sz w:val="22"/>
                        <w:szCs w:val="22"/>
                      </w:rPr>
                      <m:t>2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p>
                </m:sSubSup>
              </m:oMath>
            </m:oMathPara>
          </w:p>
          <w:p w14:paraId="4CC3BD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r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i,τ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/>
                    <w:sz w:val="22"/>
                    <w:szCs w:val="22"/>
                  </w:rPr>
                  <m:t>=</m:t>
                </m:r>
                <m:sSub>
                  <m:sSub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α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i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β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i,m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</m:sSub>
                <m:sSub>
                  <m:sSub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r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m,τ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/>
                    <w:sz w:val="22"/>
                    <w:szCs w:val="22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k=1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K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β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i,k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</m:nary>
                <m:sSub>
                  <m:sSub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r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k,τ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ε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i,τ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/>
                    <w:sz w:val="22"/>
                    <w:szCs w:val="22"/>
                  </w:rPr>
                  <m:t>, τ∈[t−252,t]</m:t>
                </m:r>
              </m:oMath>
            </m:oMathPara>
          </w:p>
          <w:p w14:paraId="0C4A36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/>
                      <w:sz w:val="22"/>
                      <w:szCs w:val="22"/>
                    </w:rPr>
                    <m:t>r</m:t>
                  </m: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/>
                      <w:sz w:val="22"/>
                      <w:szCs w:val="22"/>
                    </w:rPr>
                    <m:t>i,τ</m:t>
                  </m: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sub>
              </m:sSub>
            </m:oMath>
            <w:r>
              <w:rPr>
                <w:rFonts w:hint="eastAsia"/>
                <w:sz w:val="22"/>
                <w:szCs w:val="22"/>
              </w:rPr>
              <w:t>：股票i在交易日τ的收益率；</w:t>
            </w:r>
          </w:p>
          <w:p w14:paraId="162781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/>
                      <w:sz w:val="22"/>
                      <w:szCs w:val="22"/>
                    </w:rPr>
                    <m:t>r</m:t>
                  </m: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/>
                      <w:sz w:val="22"/>
                      <w:szCs w:val="22"/>
                    </w:rPr>
                    <m:t>m,τ</m:t>
                  </m: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sub>
              </m:sSub>
            </m:oMath>
            <w:r>
              <w:rPr>
                <w:rFonts w:hint="eastAsia"/>
                <w:sz w:val="22"/>
                <w:szCs w:val="22"/>
              </w:rPr>
              <w:t>：市场收益率（如 CRSP VW index）；</w:t>
            </w:r>
          </w:p>
          <w:p w14:paraId="04AC1E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/>
                      <w:sz w:val="22"/>
                      <w:szCs w:val="22"/>
                    </w:rPr>
                    <m:t>r</m:t>
                  </m: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/>
                      <w:sz w:val="22"/>
                      <w:szCs w:val="22"/>
                    </w:rPr>
                    <m:t>k,τ</m:t>
                  </m: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sub>
              </m:sSub>
            </m:oMath>
            <w:r>
              <w:rPr>
                <w:rFonts w:hint="eastAsia"/>
                <w:sz w:val="22"/>
                <w:szCs w:val="22"/>
              </w:rPr>
              <w:t>：K 个行业收益率</w:t>
            </w:r>
          </w:p>
          <w:p w14:paraId="5A14F3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回归窗口：过去252个交易日（约1年）；</w:t>
            </w:r>
          </w:p>
          <w:p w14:paraId="70D343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R2：回归拟合优度，反映股价变动中可被市场+行业解释的比例</w:t>
            </w:r>
          </w:p>
        </w:tc>
      </w:tr>
      <w:tr w14:paraId="3353479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43" w:type="dxa"/>
            <w:gridSpan w:val="3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C09CFB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Theme="minorEastAsia" w:hAnsiTheme="minorEastAsia" w:eastAsiaTheme="minorEastAsia" w:cstheme="minorEastAsia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0"/>
              </w:rPr>
              <w:t>6．会计质量与运营效率因子</w:t>
            </w:r>
          </w:p>
        </w:tc>
      </w:tr>
      <w:tr w14:paraId="13F22CF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single" w:color="auto" w:sz="6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CEE2F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acc</w:t>
            </w:r>
          </w:p>
        </w:tc>
        <w:tc>
          <w:tcPr>
            <w:tcW w:w="2156" w:type="dxa"/>
            <w:tcBorders>
              <w:top w:val="single" w:color="auto" w:sz="6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8AD35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应计项目</w:t>
            </w:r>
          </w:p>
        </w:tc>
        <w:tc>
          <w:tcPr>
            <w:tcW w:w="5669" w:type="dxa"/>
            <w:tcBorders>
              <w:top w:val="single" w:color="auto" w:sz="6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7DAE7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总流动应计利润</w:t>
            </w:r>
          </w:p>
        </w:tc>
      </w:tr>
      <w:tr w14:paraId="04BD6CD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CB30B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absacc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BBF4C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应计项目绝对值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4D399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absacc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i,t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/>
                    <w:sz w:val="22"/>
                    <w:szCs w:val="22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hint="eastAsia" w:ascii="Cambria Math" w:hAnsi="Cambria Math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2"/>
                                <w:szCs w:val="22"/>
                              </w:rPr>
                              <m:t>Net Income</m:t>
                            </m:r>
                            <m:ctrlPr>
                              <w:rPr>
                                <w:rFonts w:hint="eastAsia" w:ascii="Cambria Math" w:hAnsi="Cambria Math"/>
                                <w:sz w:val="22"/>
                                <w:szCs w:val="22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2"/>
                                <w:szCs w:val="22"/>
                              </w:rPr>
                              <m:t>t</m:t>
                            </m:r>
                            <m:ctrlPr>
                              <w:rPr>
                                <w:rFonts w:hint="eastAsia" w:ascii="Cambria Math" w:hAnsi="Cambria Math"/>
                                <w:sz w:val="22"/>
                                <w:szCs w:val="22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2"/>
                                <w:szCs w:val="22"/>
                              </w:rPr>
                              <m:t>CashFlow from Operations</m:t>
                            </m:r>
                            <m:ctrlPr>
                              <w:rPr>
                                <w:rFonts w:hint="eastAsia" w:ascii="Cambria Math" w:hAnsi="Cambria Math"/>
                                <w:sz w:val="22"/>
                                <w:szCs w:val="22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2"/>
                                <w:szCs w:val="22"/>
                              </w:rPr>
                              <m:t>t</m:t>
                            </m:r>
                            <m:ctrlPr>
                              <w:rPr>
                                <w:rFonts w:hint="eastAsia" w:ascii="Cambria Math" w:hAnsi="Cambria Math"/>
                                <w:sz w:val="22"/>
                                <w:szCs w:val="22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2"/>
                                <w:szCs w:val="22"/>
                              </w:rPr>
                              <m:t>Total Assets</m:t>
                            </m:r>
                            <m:ctrlPr>
                              <w:rPr>
                                <w:rFonts w:hint="eastAsia" w:ascii="Cambria Math" w:hAnsi="Cambria Math"/>
                                <w:sz w:val="22"/>
                                <w:szCs w:val="22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2"/>
                                <w:szCs w:val="22"/>
                              </w:rPr>
                              <m:t>t−1</m:t>
                            </m:r>
                            <m:ctrlPr>
                              <w:rPr>
                                <w:rFonts w:hint="eastAsia" w:ascii="Cambria Math" w:hAnsi="Cambria Math"/>
                                <w:sz w:val="22"/>
                                <w:szCs w:val="22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den>
                    </m:f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</m:d>
              </m:oMath>
            </m:oMathPara>
          </w:p>
        </w:tc>
      </w:tr>
      <w:tr w14:paraId="0626011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204EF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pctacc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25D91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百分比应计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AB3FE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  <w:sz w:val="22"/>
                        <w:szCs w:val="22"/>
                      </w:rPr>
                      <m:t>pctacc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i,t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  <m:t>Accruals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i,t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  <w:sz w:val="22"/>
                        <w:szCs w:val="22"/>
                      </w:rPr>
                      <m:t>（Net Income – Cash from Operations）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  <w:sz w:val="22"/>
                        <w:szCs w:val="22"/>
                      </w:rPr>
                      <m:t>|</m:t>
                    </m:r>
                    <m:sSub>
                      <m:sSubP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  <m:t>Net Income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i,t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  <w:sz w:val="22"/>
                        <w:szCs w:val="22"/>
                      </w:rPr>
                      <m:t>|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den>
                </m:f>
              </m:oMath>
            </m:oMathPara>
          </w:p>
        </w:tc>
      </w:tr>
      <w:tr w14:paraId="6D4BDE6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B052E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stdacc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0C70F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异常应计标准差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FA719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hint="default" w:ascii="Cambria Math" w:hAnsi="Cambria Math"/>
                  <w:sz w:val="22"/>
                  <w:szCs w:val="22"/>
                </w:rPr>
                <m:t>TCA = β0+β1∗</m:t>
              </m:r>
              <m:sSub>
                <m:sSubP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  <w:szCs w:val="22"/>
                    </w:rPr>
                    <m:t>CFO</m:t>
                  </m: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  <w:szCs w:val="22"/>
                    </w:rPr>
                    <m:t>T−1</m:t>
                  </m: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sub>
              </m:sSub>
            </m:oMath>
            <w:r>
              <w:rPr>
                <w:rFonts w:hint="eastAsia"/>
                <w:sz w:val="22"/>
                <w:szCs w:val="22"/>
              </w:rPr>
              <w:t>+</w:t>
            </w:r>
            <m:oMath>
              <m:r>
                <m:rPr>
                  <m:sty m:val="p"/>
                </m:rPr>
                <w:rPr>
                  <w:rFonts w:hint="default" w:ascii="Cambria Math" w:hAnsi="Cambria Math"/>
                  <w:sz w:val="22"/>
                  <w:szCs w:val="22"/>
                </w:rPr>
                <m:t>β2∗</m:t>
              </m:r>
              <m:sSub>
                <m:sSubP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  <w:szCs w:val="22"/>
                    </w:rPr>
                    <m:t>CFO</m:t>
                  </m: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  <w:szCs w:val="22"/>
                    </w:rPr>
                    <m:t>T</m:t>
                  </m: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sub>
              </m:sSub>
            </m:oMath>
            <w:r>
              <w:rPr>
                <w:rFonts w:hint="eastAsia"/>
                <w:sz w:val="22"/>
                <w:szCs w:val="22"/>
              </w:rPr>
              <w:t>+</w:t>
            </w:r>
            <m:oMath>
              <m:r>
                <m:rPr>
                  <m:sty m:val="p"/>
                </m:rPr>
                <w:rPr>
                  <w:rFonts w:hint="default" w:ascii="Cambria Math" w:hAnsi="Cambria Math"/>
                  <w:sz w:val="22"/>
                  <w:szCs w:val="22"/>
                </w:rPr>
                <m:t>β3∗</m:t>
              </m:r>
              <m:sSub>
                <m:sSubP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  <w:szCs w:val="22"/>
                    </w:rPr>
                    <m:t>CFO</m:t>
                  </m: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  <w:szCs w:val="22"/>
                    </w:rPr>
                    <m:t>T+1</m:t>
                  </m: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/>
                  <w:sz w:val="22"/>
                  <w:szCs w:val="22"/>
                </w:rPr>
                <m:t>+ β4∗PPE + ϵ</m:t>
              </m:r>
            </m:oMath>
          </w:p>
          <w:p w14:paraId="087D61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TCA = 总流动应计（经营应计）（acc）</w:t>
            </w:r>
          </w:p>
          <w:p w14:paraId="4D09FF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CFO = 经营活动现金流（jjhdcsdxxl ）</w:t>
            </w:r>
          </w:p>
          <w:p w14:paraId="138CF4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PPE = 固定资产（gdzc）</w:t>
            </w:r>
          </w:p>
          <w:p w14:paraId="2185C0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所有变量均按总资产（zzc）缩放</w:t>
            </w:r>
          </w:p>
          <w:p w14:paraId="2328C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Stdacc计算步骤：</w:t>
            </w:r>
          </w:p>
          <w:p w14:paraId="6EDDCA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每年按行业（industry）估计上述模型；</w:t>
            </w:r>
          </w:p>
          <w:p w14:paraId="4DA395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取残差 ϵ作为异常应计（DA）；</w:t>
            </w:r>
          </w:p>
          <w:p w14:paraId="17A9EF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计算每个公司过去1年（滚动一年）DA 的标准差，得到 Stdacc </w:t>
            </w:r>
          </w:p>
        </w:tc>
      </w:tr>
      <w:tr w14:paraId="0D0DF0A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2A047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chtx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9E4B0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所得税费用变动率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54F44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所得税费用的年度变化率</w:t>
            </w:r>
          </w:p>
        </w:tc>
      </w:tr>
      <w:tr w14:paraId="501D834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AD58A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chatoia_ia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D2DA4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行业调整后资产周转率变化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B037E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(公司chatoia</w:t>
            </w:r>
            <m:oMath>
              <m:r>
                <m:rPr>
                  <m:sty m:val="p"/>
                </m:rPr>
                <w:rPr>
                  <w:rFonts w:hint="eastAsia" w:ascii="Cambria Math" w:hAnsi="Cambria Math"/>
                  <w:sz w:val="22"/>
                  <w:szCs w:val="22"/>
                </w:rPr>
                <m:t>−</m:t>
              </m:r>
            </m:oMath>
            <w:r>
              <w:rPr>
                <w:rFonts w:hint="eastAsia"/>
                <w:sz w:val="22"/>
                <w:szCs w:val="22"/>
              </w:rPr>
              <w:t>行业均值)/行业标准差</w:t>
            </w:r>
          </w:p>
        </w:tc>
      </w:tr>
      <w:tr w14:paraId="7B72798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74171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chpm_ia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4AF75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行业调整后营业利润率变动率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A4C47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(公司chpm</w:t>
            </w:r>
            <m:oMath>
              <m:r>
                <m:rPr>
                  <m:sty m:val="p"/>
                </m:rPr>
                <w:rPr>
                  <w:rFonts w:hint="eastAsia" w:ascii="Cambria Math" w:hAnsi="Cambria Math"/>
                  <w:sz w:val="22"/>
                  <w:szCs w:val="22"/>
                </w:rPr>
                <m:t>−</m:t>
              </m:r>
            </m:oMath>
            <w:r>
              <w:rPr>
                <w:rFonts w:hint="eastAsia"/>
                <w:sz w:val="22"/>
                <w:szCs w:val="22"/>
              </w:rPr>
              <w:t>行业均值)/行业标准差</w:t>
            </w:r>
          </w:p>
        </w:tc>
      </w:tr>
      <w:tr w14:paraId="52C54DC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1ADB2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pchgm_pchsale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F9352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毛利率变化-营收变化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1D63B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毛利率变化率</w:t>
            </w:r>
            <m:oMath>
              <m:r>
                <m:rPr>
                  <m:sty m:val="p"/>
                </m:rPr>
                <w:rPr>
                  <w:rFonts w:hint="eastAsia" w:ascii="Cambria Math" w:hAnsi="Cambria Math"/>
                  <w:sz w:val="22"/>
                  <w:szCs w:val="22"/>
                </w:rPr>
                <m:t>−</m:t>
              </m:r>
            </m:oMath>
            <w:r>
              <w:rPr>
                <w:rFonts w:hint="eastAsia"/>
                <w:sz w:val="22"/>
                <w:szCs w:val="22"/>
              </w:rPr>
              <w:t>营业收入变化率</w:t>
            </w:r>
          </w:p>
        </w:tc>
      </w:tr>
      <w:tr w14:paraId="6F11858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645E0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pchcurrat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1BBB4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流动比率变动率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91614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流动比率的年度变化</w:t>
            </w:r>
          </w:p>
        </w:tc>
      </w:tr>
      <w:tr w14:paraId="379CAFD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E3C4A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pchquick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A0FAF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速动比率变化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6CB12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速动比率的年度变化</w:t>
            </w:r>
          </w:p>
        </w:tc>
      </w:tr>
      <w:tr w14:paraId="723A6DB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111B6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pchsalez_pchinvt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F7FE6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营收增长-存货增长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8A7A3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营业收入增长率</w:t>
            </w:r>
            <m:oMath>
              <m:r>
                <m:rPr>
                  <m:sty m:val="p"/>
                </m:rPr>
                <w:rPr>
                  <w:rFonts w:hint="eastAsia" w:ascii="Cambria Math" w:hAnsi="Cambria Math"/>
                  <w:sz w:val="22"/>
                  <w:szCs w:val="22"/>
                </w:rPr>
                <m:t>−</m:t>
              </m:r>
            </m:oMath>
            <w:r>
              <w:rPr>
                <w:rFonts w:hint="eastAsia"/>
                <w:sz w:val="22"/>
                <w:szCs w:val="22"/>
              </w:rPr>
              <w:t>存货增长率</w:t>
            </w:r>
          </w:p>
        </w:tc>
      </w:tr>
      <w:tr w14:paraId="3219477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68F7A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pchsale_pchrect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95CEC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营收增长-应收增长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CE617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营业收入增长率</w:t>
            </w:r>
            <m:oMath>
              <m:r>
                <m:rPr>
                  <m:sty m:val="p"/>
                </m:rPr>
                <w:rPr>
                  <w:rFonts w:hint="eastAsia" w:ascii="Cambria Math" w:hAnsi="Cambria Math"/>
                  <w:sz w:val="22"/>
                  <w:szCs w:val="22"/>
                </w:rPr>
                <m:t>−</m:t>
              </m:r>
            </m:oMath>
            <w:r>
              <w:rPr>
                <w:rFonts w:hint="eastAsia"/>
                <w:sz w:val="22"/>
                <w:szCs w:val="22"/>
              </w:rPr>
              <w:t>应收账款增长率</w:t>
            </w:r>
          </w:p>
        </w:tc>
      </w:tr>
      <w:tr w14:paraId="208A183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ED817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pchsale_sga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30466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销售管理费用效率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AE6E7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  <w:sz w:val="22"/>
                        <w:szCs w:val="22"/>
                      </w:rPr>
                      <m:t>Efficiency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i,t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/>
                    <w:sz w:val="22"/>
                    <w:szCs w:val="22"/>
                  </w:rPr>
                  <m:t>=Δ</m:t>
                </m:r>
                <m:sSub>
                  <m:sSub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  <w:sz w:val="22"/>
                        <w:szCs w:val="22"/>
                      </w:rPr>
                      <m:t>Sales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i,t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/>
                    <w:sz w:val="22"/>
                    <w:szCs w:val="22"/>
                  </w:rPr>
                  <m:t>−Δ</m:t>
                </m:r>
                <m:sSub>
                  <m:sSub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  <w:sz w:val="22"/>
                        <w:szCs w:val="22"/>
                      </w:rPr>
                      <m:t>SGA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i,t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</m:sSub>
              </m:oMath>
            </m:oMathPara>
          </w:p>
          <w:p w14:paraId="774C47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hint="default" w:ascii="Cambria Math" w:hAnsi="Cambria Math"/>
                    <w:sz w:val="22"/>
                    <w:szCs w:val="22"/>
                  </w:rPr>
                  <m:t>ΔSale</m:t>
                </m:r>
                <m:sSub>
                  <m:sSub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s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i,t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SAL</m:t>
                    </m:r>
                    <m:sSub>
                      <m:sSubP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E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i,t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−SAL</m:t>
                    </m:r>
                    <m:sSub>
                      <m:sSubP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E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i,t−1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SAL</m:t>
                    </m:r>
                    <m:sSub>
                      <m:sSubP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E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i,t−1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den>
                </m:f>
              </m:oMath>
            </m:oMathPara>
          </w:p>
          <w:p w14:paraId="446210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hint="default" w:ascii="Cambria Math" w:hAnsi="Cambria Math"/>
                    <w:sz w:val="22"/>
                    <w:szCs w:val="22"/>
                  </w:rPr>
                  <m:t>ΔSG</m:t>
                </m:r>
                <m:sSub>
                  <m:sSub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A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i,t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XSG</m:t>
                    </m:r>
                    <m:sSub>
                      <m:sSubP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A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i,t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−XSG</m:t>
                    </m:r>
                    <m:sSub>
                      <m:sSubP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A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i,t−1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XSG</m:t>
                    </m:r>
                    <m:sSub>
                      <m:sSubP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A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2"/>
                            <w:szCs w:val="22"/>
                          </w:rPr>
                          <m:t>i,t−1</m:t>
                        </m:r>
                        <m:ctrlPr>
                          <w:rPr>
                            <w:rFonts w:hint="eastAsia" w:ascii="Cambria Math" w:hAnsi="Cambria Math"/>
                            <w:sz w:val="22"/>
                            <w:szCs w:val="22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den>
                </m:f>
              </m:oMath>
            </m:oMathPara>
          </w:p>
          <w:p w14:paraId="012FC4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Sales：总销售收入，XSGA：销售费用+管理费用</w:t>
            </w:r>
          </w:p>
        </w:tc>
      </w:tr>
      <w:tr w14:paraId="5DD0285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CCF94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pchsal_pchinvt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27FEE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营收存货比变化率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0FC65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(营业收入/存货)变化率</w:t>
            </w:r>
          </w:p>
        </w:tc>
      </w:tr>
      <w:tr w14:paraId="32643D1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5A856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salecash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61849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现金周转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CCE53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营业收入/现金及等价物</w:t>
            </w:r>
          </w:p>
        </w:tc>
      </w:tr>
      <w:tr w14:paraId="731269E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A878A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saleinv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CD146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存货周转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381BB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营业收入/存货</w:t>
            </w:r>
          </w:p>
        </w:tc>
      </w:tr>
      <w:tr w14:paraId="7955969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475AC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salerec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16FD4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应收周转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A3BF5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营业收入/应收账款</w:t>
            </w:r>
          </w:p>
        </w:tc>
      </w:tr>
      <w:tr w14:paraId="5B033D5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37E88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herf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84E37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行业集中度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BBAD8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  <w:szCs w:val="22"/>
                    </w:rPr>
                    <m:t>s</m:t>
                  </m: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  <w:szCs w:val="22"/>
                    </w:rPr>
                    <m:t>i,g,t</m:t>
                  </m: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  <w:szCs w:val="22"/>
                    </w:rPr>
                    <m:t>SAL</m:t>
                  </m:r>
                  <m:sSub>
                    <m:sSubPr>
                      <m:ctrlPr>
                        <w:rPr>
                          <w:rFonts w:hint="eastAsia"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2"/>
                          <w:szCs w:val="22"/>
                        </w:rPr>
                        <m:t>E</m:t>
                      </m:r>
                      <m:ctrlPr>
                        <w:rPr>
                          <w:rFonts w:hint="eastAsia" w:ascii="Cambria Math" w:hAnsi="Cambria Math"/>
                          <w:sz w:val="22"/>
                          <w:szCs w:val="22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2"/>
                          <w:szCs w:val="22"/>
                        </w:rPr>
                        <m:t>i,t</m:t>
                      </m:r>
                      <m:ctrlPr>
                        <w:rPr>
                          <w:rFonts w:hint="eastAsia" w:ascii="Cambria Math" w:hAnsi="Cambria Math"/>
                          <w:sz w:val="22"/>
                          <w:szCs w:val="22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num>
                <m:den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hint="eastAsia" w:ascii="Cambria Math" w:hAnsi="Cambria Math"/>
                          <w:sz w:val="22"/>
                          <w:szCs w:val="22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2"/>
                          <w:szCs w:val="22"/>
                        </w:rPr>
                        <m:t>j∈g</m:t>
                      </m:r>
                      <m:ctrlPr>
                        <w:rPr>
                          <w:rFonts w:hint="eastAsia" w:ascii="Cambria Math" w:hAnsi="Cambria Math"/>
                          <w:sz w:val="22"/>
                          <w:szCs w:val="22"/>
                        </w:rPr>
                      </m:ctrlPr>
                    </m:sub>
                    <m:sup>
                      <m:ctrlPr>
                        <w:rPr>
                          <w:rFonts w:hint="eastAsia" w:ascii="Cambria Math" w:hAnsi="Cambria Math"/>
                          <w:sz w:val="22"/>
                          <w:szCs w:val="22"/>
                        </w:rPr>
                      </m:ctrlPr>
                    </m:sup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2"/>
                          <w:szCs w:val="22"/>
                        </w:rPr>
                        <m:t>S</m:t>
                      </m:r>
                      <m:ctrlPr>
                        <w:rPr>
                          <w:rFonts w:hint="eastAsia" w:ascii="Cambria Math" w:hAnsi="Cambria Math"/>
                          <w:sz w:val="22"/>
                          <w:szCs w:val="22"/>
                        </w:rPr>
                      </m:ctrlPr>
                    </m:e>
                  </m:nary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  <w:szCs w:val="22"/>
                    </w:rPr>
                    <m:t>AL</m:t>
                  </m:r>
                  <m:sSub>
                    <m:sSubPr>
                      <m:ctrlPr>
                        <w:rPr>
                          <w:rFonts w:hint="eastAsia"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2"/>
                          <w:szCs w:val="22"/>
                        </w:rPr>
                        <m:t>E</m:t>
                      </m:r>
                      <m:ctrlPr>
                        <w:rPr>
                          <w:rFonts w:hint="eastAsia" w:ascii="Cambria Math" w:hAnsi="Cambria Math"/>
                          <w:sz w:val="22"/>
                          <w:szCs w:val="22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2"/>
                          <w:szCs w:val="22"/>
                        </w:rPr>
                        <m:t>j,t</m:t>
                      </m:r>
                      <m:ctrlPr>
                        <w:rPr>
                          <w:rFonts w:hint="eastAsia" w:ascii="Cambria Math" w:hAnsi="Cambria Math"/>
                          <w:sz w:val="22"/>
                          <w:szCs w:val="22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den>
              </m:f>
            </m:oMath>
            <w:r>
              <w:rPr>
                <w:rFonts w:hint="eastAsia"/>
                <w:sz w:val="22"/>
                <w:szCs w:val="22"/>
              </w:rPr>
              <w:t xml:space="preserve">   </w:t>
            </w:r>
            <m:oMath>
              <m:sSub>
                <m:sSubP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/>
                      <w:sz w:val="22"/>
                      <w:szCs w:val="22"/>
                    </w:rPr>
                    <m:t>herf</m:t>
                  </m: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  <w:szCs w:val="22"/>
                    </w:rPr>
                    <m:t>g,t</m:t>
                  </m: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/>
                  <w:sz w:val="22"/>
                  <w:szCs w:val="22"/>
                </w:rPr>
                <m:t>=</m:t>
              </m:r>
              <m:sSup>
                <m:sSupP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sSupPr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hint="eastAsia" w:ascii="Cambria Math" w:hAnsi="Cambria Math"/>
                          <w:sz w:val="22"/>
                          <w:szCs w:val="22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2"/>
                          <w:szCs w:val="22"/>
                        </w:rPr>
                        <m:t>i∈g</m:t>
                      </m:r>
                      <m:ctrlPr>
                        <w:rPr>
                          <w:rFonts w:hint="eastAsia" w:ascii="Cambria Math" w:hAnsi="Cambria Math"/>
                          <w:sz w:val="22"/>
                          <w:szCs w:val="22"/>
                        </w:rPr>
                      </m:ctrlPr>
                    </m:sub>
                    <m:sup>
                      <m:ctrlPr>
                        <w:rPr>
                          <w:rFonts w:hint="eastAsia" w:ascii="Cambria Math" w:hAnsi="Cambria Math"/>
                          <w:sz w:val="22"/>
                          <w:szCs w:val="22"/>
                        </w:rPr>
                      </m:ctrlPr>
                    </m:sup>
                    <m:e>
                      <m:d>
                        <m:dPr>
                          <m:ctrlPr>
                            <w:rPr>
                              <w:rFonts w:hint="eastAsia" w:ascii="Cambria Math" w:hAnsi="Cambria Math"/>
                              <w:sz w:val="22"/>
                              <w:szCs w:val="22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hint="eastAsia" w:ascii="Cambria Math" w:hAnsi="Cambria Math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hint="eastAsia" w:ascii="Cambria Math" w:hAnsi="Cambria Math"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/>
                                      <w:sz w:val="22"/>
                                      <w:szCs w:val="22"/>
                                    </w:rPr>
                                    <m:t>SALE</m:t>
                                  </m:r>
                                  <m:ctrlPr>
                                    <w:rPr>
                                      <w:rFonts w:hint="eastAsia" w:ascii="Cambria Math" w:hAnsi="Cambria Math"/>
                                      <w:sz w:val="22"/>
                                      <w:szCs w:val="22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2"/>
                                      <w:szCs w:val="22"/>
                                    </w:rPr>
                                    <m:t>i,t</m:t>
                                  </m:r>
                                  <m:ctrlPr>
                                    <w:rPr>
                                      <w:rFonts w:hint="eastAsia" w:ascii="Cambria Math" w:hAnsi="Cambria Math"/>
                                      <w:sz w:val="22"/>
                                      <w:szCs w:val="22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eastAsia" w:ascii="Cambria Math" w:hAnsi="Cambria Math"/>
                                  <w:sz w:val="22"/>
                                  <w:szCs w:val="22"/>
                                </w:rPr>
                              </m:ctrlP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hint="eastAsia" w:ascii="Cambria Math" w:hAnsi="Cambria Math"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nary>
                                    <m:naryPr>
                                      <m:chr m:val="∑"/>
                                      <m:limLoc m:val="undOvr"/>
                                      <m:supHide m:val="1"/>
                                      <m:ctrlPr>
                                        <w:rPr>
                                          <w:rFonts w:hint="eastAsia" w:ascii="Cambria Math" w:hAnsi="Cambria Math"/>
                                          <w:sz w:val="22"/>
                                          <w:szCs w:val="22"/>
                                        </w:rPr>
                                      </m:ctrlPr>
                                    </m:naryPr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2"/>
                                          <w:szCs w:val="22"/>
                                        </w:rPr>
                                        <m:t>j∈g</m:t>
                                      </m:r>
                                      <m:ctrlPr>
                                        <w:rPr>
                                          <w:rFonts w:hint="eastAsia" w:ascii="Cambria Math" w:hAnsi="Cambria Math"/>
                                          <w:sz w:val="22"/>
                                          <w:szCs w:val="22"/>
                                        </w:rPr>
                                      </m:ctrlPr>
                                    </m:sub>
                                    <m:sup>
                                      <m:ctrlPr>
                                        <w:rPr>
                                          <w:rFonts w:hint="eastAsia" w:ascii="Cambria Math" w:hAnsi="Cambria Math"/>
                                          <w:sz w:val="22"/>
                                          <w:szCs w:val="22"/>
                                        </w:rPr>
                                      </m:ctrlPr>
                                    </m:sup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eastAsia" w:ascii="Cambria Math" w:hAnsi="Cambria Math"/>
                                          <w:sz w:val="22"/>
                                          <w:szCs w:val="22"/>
                                        </w:rPr>
                                        <m:t>SALE</m:t>
                                      </m:r>
                                      <m:ctrlPr>
                                        <w:rPr>
                                          <w:rFonts w:hint="eastAsia" w:ascii="Cambria Math" w:hAnsi="Cambria Math"/>
                                          <w:sz w:val="22"/>
                                          <w:szCs w:val="22"/>
                                        </w:rPr>
                                      </m:ctrlPr>
                                    </m:e>
                                  </m:nary>
                                  <m:ctrlPr>
                                    <w:rPr>
                                      <w:rFonts w:hint="eastAsia" w:ascii="Cambria Math" w:hAnsi="Cambria Math"/>
                                      <w:sz w:val="22"/>
                                      <w:szCs w:val="22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2"/>
                                      <w:szCs w:val="22"/>
                                    </w:rPr>
                                    <m:t>j,t</m:t>
                                  </m:r>
                                  <m:ctrlPr>
                                    <w:rPr>
                                      <w:rFonts w:hint="eastAsia" w:ascii="Cambria Math" w:hAnsi="Cambria Math"/>
                                      <w:sz w:val="22"/>
                                      <w:szCs w:val="22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eastAsia" w:ascii="Cambria Math" w:hAnsi="Cambria Math"/>
                                  <w:sz w:val="22"/>
                                  <w:szCs w:val="22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/>
                              <w:sz w:val="22"/>
                              <w:szCs w:val="22"/>
                            </w:rPr>
                          </m:ctrlPr>
                        </m:e>
                      </m:d>
                      <m:ctrlPr>
                        <w:rPr>
                          <w:rFonts w:hint="eastAsia" w:ascii="Cambria Math" w:hAnsi="Cambria Math"/>
                          <w:sz w:val="22"/>
                          <w:szCs w:val="22"/>
                        </w:rPr>
                      </m:ctrlPr>
                    </m:e>
                  </m:nary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eastAsia" w:ascii="Cambria Math" w:hAnsi="Cambria Math"/>
                      <w:sz w:val="22"/>
                      <w:szCs w:val="22"/>
                    </w:rPr>
                    <m:t>2</m:t>
                  </m:r>
                  <m:ctrlPr>
                    <w:rPr>
                      <w:rFonts w:hint="eastAsia" w:ascii="Cambria Math" w:hAnsi="Cambria Math"/>
                      <w:sz w:val="22"/>
                      <w:szCs w:val="22"/>
                    </w:rPr>
                  </m:ctrlPr>
                </m:sup>
              </m:sSup>
            </m:oMath>
          </w:p>
          <w:p w14:paraId="0A00C7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按照行业分类，计算行业内所有公司的总销售收入，然后计算出每一个行业的herf，一个行业所有公司被赋值一个herf。Sale可以换总资产或者权益</w:t>
            </w:r>
          </w:p>
        </w:tc>
      </w:tr>
      <w:tr w14:paraId="601B609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65630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nincr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395CA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连续盈利增长虚拟变量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48EA9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连续5年增长取1</w:t>
            </w:r>
          </w:p>
        </w:tc>
      </w:tr>
      <w:tr w14:paraId="3DE2BE8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55658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sin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C9B79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罪恶股虚拟变量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39739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1.白酒关键词：酱香型、浓香型、清香型、馥郁香型；年份酒、原浆酒、陈酿、勾调酒、保健酒。</w:t>
            </w:r>
          </w:p>
          <w:p w14:paraId="3B8FC0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产业链：基酒生产、酒曲、包装材料、酒瓶、瓶盖</w:t>
            </w:r>
          </w:p>
          <w:p w14:paraId="14E69B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2.烟草关键词：电子烟、雾化器、加热不燃烧（HNB）、烟弹、烟油、尼古丁、烟标印刷、卷烟纸、滤嘴、香精香料、烟草薄片。</w:t>
            </w:r>
          </w:p>
          <w:p w14:paraId="6DEE26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3.医美关键词：玻尿酸、肉毒素、胶原蛋白、假体植入、医美、医疗美容、整形外科、皮肤科、轻医美、医美诊所、医疗服务。</w:t>
            </w:r>
          </w:p>
          <w:p w14:paraId="64458F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4.化妆品关键词：面膜、精华、面霜、眼霜、乳液、洁面、彩妆、口红、粉底、香水、精油、抗衰、美白、祛斑、保湿、修复、防晒、男士护理、婴童护理。</w:t>
            </w:r>
          </w:p>
          <w:p w14:paraId="5BA0C7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5.奢侈品关键词：箱包皮具、高档手表、高级成衣、定制服装、艺术品、高端家具、手工定制、限量款、联名款、品牌传承、高级工艺。</w:t>
            </w:r>
          </w:p>
          <w:p w14:paraId="4208B0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6.游戏关键词：手游、端游、主机游戏、网页游戏；角色扮演、策略、休闲、棋牌、模拟经营、游戏研发、游戏发行、游戏运营、游戏平台、游戏引擎、电竞。</w:t>
            </w:r>
          </w:p>
          <w:p w14:paraId="626704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7.高污染高耗能关键词：煤炭、焦煤、动力煤、、PVC、PTA、尿素、纯碱、染料、钢铁、特钢、板材、电解铝、铜冶炼、建材、水泥、玻璃、造纸、石化。</w:t>
            </w:r>
          </w:p>
          <w:p w14:paraId="251418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8.彩票关键词：体育彩票、福利彩票、即开型彩票、数字型彩票、竞技型彩票、彩票销售终端、彩票系统、彩票印制、彩票运营。</w:t>
            </w:r>
          </w:p>
          <w:p w14:paraId="0F0B50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构建方法：</w:t>
            </w:r>
          </w:p>
          <w:p w14:paraId="4020B8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sin = 每月构建一个等权重的罪恶股投资组合。同时构建一个等权重的可比股票投资组合。</w:t>
            </w:r>
          </w:p>
          <w:p w14:paraId="424A77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计算两者收益率的差值，即多空组合收益率。</w:t>
            </w:r>
          </w:p>
        </w:tc>
      </w:tr>
      <w:tr w14:paraId="5CC94B7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EB501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TB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0FC54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税收规避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B3806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  <w:sz w:val="22"/>
                        <w:szCs w:val="22"/>
                      </w:rPr>
                      <m:t>TB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i,t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PI−(TXP/τ)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  <w:sz w:val="22"/>
                        <w:szCs w:val="22"/>
                      </w:rPr>
                      <m:t>PI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eastAsia" w:ascii="Cambria Math" w:hAnsi="Cambria Math"/>
                    <w:sz w:val="22"/>
                    <w:szCs w:val="22"/>
                  </w:rPr>
                  <m:t>=1−</m:t>
                </m:r>
                <m:f>
                  <m:fP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  <w:sz w:val="22"/>
                        <w:szCs w:val="22"/>
                      </w:rPr>
                      <m:t>TXP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  <w:szCs w:val="22"/>
                      </w:rPr>
                      <m:t>τ⋅PI</m:t>
                    </m:r>
                    <m:ctrlPr>
                      <w:rPr>
                        <w:rFonts w:hint="eastAsia" w:ascii="Cambria Math" w:hAnsi="Cambria Math"/>
                        <w:sz w:val="22"/>
                        <w:szCs w:val="22"/>
                      </w:rPr>
                    </m:ctrlPr>
                  </m:den>
                </m:f>
              </m:oMath>
            </m:oMathPara>
          </w:p>
          <w:p w14:paraId="1F5361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TXP当期所得税费用、PI税前利润、</w:t>
            </w:r>
            <m:oMath>
              <m:r>
                <m:rPr>
                  <m:sty m:val="p"/>
                </m:rPr>
                <w:rPr>
                  <w:rFonts w:hint="default" w:ascii="Cambria Math" w:hAnsi="Cambria Math"/>
                  <w:sz w:val="22"/>
                  <w:szCs w:val="22"/>
                </w:rPr>
                <m:t>τ</m:t>
              </m:r>
            </m:oMath>
            <w:r>
              <w:rPr>
                <w:rFonts w:hint="eastAsia"/>
                <w:sz w:val="22"/>
                <w:szCs w:val="22"/>
              </w:rPr>
              <w:t>税率</w:t>
            </w:r>
          </w:p>
        </w:tc>
      </w:tr>
      <w:tr w14:paraId="160FBB1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16236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stdcf</w:t>
            </w:r>
          </w:p>
        </w:tc>
        <w:tc>
          <w:tcPr>
            <w:tcW w:w="2156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FD6A3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经营活动现金流增长率标准差</w:t>
            </w:r>
          </w:p>
        </w:tc>
        <w:tc>
          <w:tcPr>
            <w:tcW w:w="5669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83C8D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过去滚动窗口标准差</w:t>
            </w:r>
          </w:p>
        </w:tc>
      </w:tr>
    </w:tbl>
    <w:p w14:paraId="75BA52A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562"/>
      </w:pPr>
      <w:r>
        <w:separator/>
      </w:r>
    </w:p>
  </w:endnote>
  <w:endnote w:type="continuationSeparator" w:id="1">
    <w:p>
      <w:pPr>
        <w:ind w:firstLine="56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562"/>
      </w:pPr>
      <w:r>
        <w:separator/>
      </w:r>
    </w:p>
  </w:footnote>
  <w:footnote w:type="continuationSeparator" w:id="1">
    <w:p>
      <w:pPr>
        <w:ind w:firstLine="562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145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1447" w:firstLineChars="201"/>
      <w:jc w:val="both"/>
    </w:pPr>
    <w:rPr>
      <w:rFonts w:ascii="Times New Roman" w:hAnsi="Times New Roman" w:eastAsia="宋体" w:cs="Times New Roman"/>
      <w:kern w:val="2"/>
      <w:sz w:val="28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2026-06-28T07:37:47Z</dcterms:created>
  <dc:creator>32299</dc:creator>
  <cp:lastModifiedBy>Koi</cp:lastModifiedBy>
  <dcterms:modified xsi:type="dcterms:W3CDTF">2026-06-28T07:37:59Z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eyJoZGlkIjoiODdiMzQ1OGUyOTgyZTU5NTk2NGU0NWZkOTQxZmFjZWYiLCJ1c2VySWQiOiI4MzYzMTI5ODYifQ==</vt:lpwstr>
  </property>
  <property fmtid="{D5CDD505-2E9C-101B-9397-08002B2CF9AE}" pid="4" name="ICV">
    <vt:lpwstr>A302B0981EBB4F06A0151893C2C16913_12</vt:lpwstr>
  </property>
</Properties>
</file>