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693C0E" w14:paraId="698A8557" w14:textId="77777777">
        <w:trPr>
          <w:trHeight w:hRule="exact" w:val="979"/>
          <w:jc w:val="center"/>
        </w:trPr>
        <w:tc>
          <w:tcPr>
            <w:tcW w:w="10656" w:type="dxa"/>
            <w:gridSpan w:val="5"/>
            <w:tcBorders>
              <w:top w:val="single" w:sz="6" w:space="0" w:color="auto"/>
              <w:left w:val="nil"/>
              <w:bottom w:val="single" w:sz="6" w:space="0" w:color="auto"/>
              <w:right w:val="nil"/>
            </w:tcBorders>
            <w:vAlign w:val="bottom"/>
          </w:tcPr>
          <w:p w14:paraId="32B39A7C" w14:textId="77777777" w:rsidR="00693C0E" w:rsidRDefault="00693C0E" w:rsidP="00693C0E">
            <w:pPr>
              <w:pStyle w:val="Heading1"/>
            </w:pPr>
            <w:r>
              <w:t>BIOGRAPHICAL SKETCH</w:t>
            </w:r>
          </w:p>
          <w:p w14:paraId="2F3A458A" w14:textId="77777777" w:rsidR="00693C0E" w:rsidRDefault="00693C0E" w:rsidP="00693C0E">
            <w:pPr>
              <w:pStyle w:val="HeadNoteNotItalics"/>
              <w:rPr>
                <w:sz w:val="20"/>
                <w:szCs w:val="20"/>
              </w:rPr>
            </w:pPr>
            <w:r>
              <w:t>Provide the following information for the Senior/key personnel and other significant contributors.</w:t>
            </w:r>
            <w:r>
              <w:br/>
              <w:t xml:space="preserve">Follow this format for each person. </w:t>
            </w:r>
            <w:r>
              <w:rPr>
                <w:b/>
                <w:bCs/>
              </w:rPr>
              <w:t xml:space="preserve"> DO NOT EXCEED FOUR PAGES.</w:t>
            </w:r>
          </w:p>
        </w:tc>
      </w:tr>
      <w:tr w:rsidR="00693C0E" w14:paraId="294D1E07" w14:textId="77777777">
        <w:trPr>
          <w:trHeight w:hRule="exact" w:val="216"/>
          <w:jc w:val="center"/>
        </w:trPr>
        <w:tc>
          <w:tcPr>
            <w:tcW w:w="10656" w:type="dxa"/>
            <w:gridSpan w:val="5"/>
            <w:tcBorders>
              <w:top w:val="single" w:sz="6" w:space="0" w:color="auto"/>
              <w:left w:val="nil"/>
              <w:bottom w:val="single" w:sz="6" w:space="0" w:color="auto"/>
              <w:right w:val="nil"/>
            </w:tcBorders>
          </w:tcPr>
          <w:p w14:paraId="022A3C04" w14:textId="77777777" w:rsidR="00693C0E" w:rsidRDefault="00693C0E" w:rsidP="00693C0E">
            <w:pPr>
              <w:jc w:val="center"/>
              <w:rPr>
                <w:rFonts w:cs="Arial"/>
                <w:sz w:val="20"/>
                <w:szCs w:val="20"/>
              </w:rPr>
            </w:pPr>
          </w:p>
        </w:tc>
      </w:tr>
      <w:tr w:rsidR="00693C0E" w14:paraId="477CC561" w14:textId="77777777">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0E85AB58" w14:textId="77777777" w:rsidR="00693C0E" w:rsidRDefault="00693C0E" w:rsidP="00693C0E">
            <w:pPr>
              <w:pStyle w:val="FormFieldCaption"/>
            </w:pPr>
            <w:r>
              <w:t>NAME</w:t>
            </w:r>
          </w:p>
          <w:p w14:paraId="390B0D4F" w14:textId="77777777" w:rsidR="00693C0E" w:rsidRDefault="00693C0E" w:rsidP="00693C0E">
            <w:pPr>
              <w:pStyle w:val="DataField11pt-Single"/>
            </w:pPr>
            <w:proofErr w:type="spellStart"/>
            <w:r>
              <w:t>Héctor</w:t>
            </w:r>
            <w:proofErr w:type="spellEnd"/>
            <w:r>
              <w:t xml:space="preserve"> Corrada Bravo</w:t>
            </w:r>
          </w:p>
        </w:tc>
        <w:tc>
          <w:tcPr>
            <w:tcW w:w="5328" w:type="dxa"/>
            <w:gridSpan w:val="3"/>
            <w:vMerge w:val="restart"/>
            <w:tcBorders>
              <w:top w:val="single" w:sz="6" w:space="0" w:color="auto"/>
              <w:left w:val="nil"/>
              <w:right w:val="nil"/>
            </w:tcBorders>
            <w:tcMar>
              <w:top w:w="14" w:type="dxa"/>
              <w:bottom w:w="14" w:type="dxa"/>
            </w:tcMar>
          </w:tcPr>
          <w:p w14:paraId="780A6E55" w14:textId="77777777" w:rsidR="00693C0E" w:rsidRDefault="00693C0E" w:rsidP="00693C0E">
            <w:pPr>
              <w:pStyle w:val="FormFieldCaption"/>
            </w:pPr>
            <w:r>
              <w:t>POSITION TITLE</w:t>
            </w:r>
          </w:p>
          <w:p w14:paraId="43379C87" w14:textId="77777777" w:rsidR="00693C0E" w:rsidRDefault="00693C0E" w:rsidP="00693C0E">
            <w:pPr>
              <w:pStyle w:val="DataField11pt-Single"/>
            </w:pPr>
            <w:r>
              <w:t>Assistant Professor of Computer Science</w:t>
            </w:r>
          </w:p>
        </w:tc>
      </w:tr>
      <w:tr w:rsidR="00693C0E" w14:paraId="79BB2F58" w14:textId="77777777">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18ACE804" w14:textId="77777777" w:rsidR="00693C0E" w:rsidRDefault="00693C0E" w:rsidP="00693C0E">
            <w:pPr>
              <w:pStyle w:val="FormFieldCaption"/>
            </w:pPr>
            <w:proofErr w:type="spellStart"/>
            <w:proofErr w:type="gramStart"/>
            <w:r>
              <w:t>eRA</w:t>
            </w:r>
            <w:proofErr w:type="spellEnd"/>
            <w:proofErr w:type="gramEnd"/>
            <w:r>
              <w:t xml:space="preserve"> COMMONS USER NAME (credential, e.g., agency login)</w:t>
            </w:r>
          </w:p>
          <w:p w14:paraId="3C4DA9C2" w14:textId="77777777" w:rsidR="00693C0E" w:rsidRDefault="00693C0E" w:rsidP="00693C0E">
            <w:pPr>
              <w:pStyle w:val="DataField11pt-Single"/>
            </w:pPr>
            <w:r>
              <w:t>HCORRADA</w:t>
            </w:r>
          </w:p>
        </w:tc>
        <w:tc>
          <w:tcPr>
            <w:tcW w:w="5328" w:type="dxa"/>
            <w:gridSpan w:val="3"/>
            <w:vMerge/>
            <w:tcBorders>
              <w:left w:val="nil"/>
              <w:bottom w:val="single" w:sz="6" w:space="0" w:color="auto"/>
              <w:right w:val="nil"/>
            </w:tcBorders>
            <w:tcMar>
              <w:top w:w="14" w:type="dxa"/>
              <w:bottom w:w="14" w:type="dxa"/>
            </w:tcMar>
          </w:tcPr>
          <w:p w14:paraId="0A765C2F" w14:textId="77777777" w:rsidR="00693C0E" w:rsidRDefault="00693C0E" w:rsidP="00693C0E">
            <w:pPr>
              <w:pStyle w:val="FormFieldCaption"/>
            </w:pPr>
          </w:p>
        </w:tc>
      </w:tr>
      <w:tr w:rsidR="00693C0E" w14:paraId="2A0087BC" w14:textId="77777777">
        <w:trPr>
          <w:trHeight w:hRule="exact" w:val="438"/>
          <w:jc w:val="center"/>
        </w:trPr>
        <w:tc>
          <w:tcPr>
            <w:tcW w:w="10656" w:type="dxa"/>
            <w:gridSpan w:val="5"/>
            <w:tcBorders>
              <w:left w:val="nil"/>
              <w:bottom w:val="single" w:sz="6" w:space="0" w:color="auto"/>
            </w:tcBorders>
            <w:vAlign w:val="center"/>
          </w:tcPr>
          <w:p w14:paraId="1D142C9F" w14:textId="77777777" w:rsidR="00693C0E" w:rsidRDefault="00693C0E" w:rsidP="00693C0E">
            <w:pPr>
              <w:pStyle w:val="FormFieldCaption"/>
            </w:pPr>
            <w:r>
              <w:t xml:space="preserve">EDUCATION/TRAINING  </w:t>
            </w:r>
            <w:r>
              <w:rPr>
                <w:i/>
                <w:iCs/>
              </w:rPr>
              <w:t>(Begin with baccalaureate or other initial professional education, such as nursing, include postdoctoral training and residency training if applicable.)</w:t>
            </w:r>
          </w:p>
        </w:tc>
      </w:tr>
      <w:tr w:rsidR="00693C0E" w14:paraId="575BC2BF" w14:textId="77777777">
        <w:trPr>
          <w:jc w:val="center"/>
        </w:trPr>
        <w:tc>
          <w:tcPr>
            <w:tcW w:w="5058" w:type="dxa"/>
            <w:tcBorders>
              <w:top w:val="single" w:sz="6" w:space="0" w:color="auto"/>
              <w:left w:val="nil"/>
              <w:bottom w:val="single" w:sz="6" w:space="0" w:color="auto"/>
              <w:right w:val="single" w:sz="6" w:space="0" w:color="auto"/>
            </w:tcBorders>
            <w:vAlign w:val="center"/>
          </w:tcPr>
          <w:p w14:paraId="71640512" w14:textId="77777777" w:rsidR="00693C0E" w:rsidRDefault="00693C0E" w:rsidP="00693C0E">
            <w:pPr>
              <w:pStyle w:val="FormFieldCaption"/>
              <w:jc w:val="center"/>
            </w:pPr>
            <w:r>
              <w:t>INSTITUTION AND LOCATION</w:t>
            </w:r>
          </w:p>
        </w:tc>
        <w:tc>
          <w:tcPr>
            <w:tcW w:w="1511" w:type="dxa"/>
            <w:gridSpan w:val="2"/>
            <w:tcBorders>
              <w:top w:val="single" w:sz="6" w:space="0" w:color="auto"/>
              <w:left w:val="nil"/>
              <w:bottom w:val="single" w:sz="6" w:space="0" w:color="auto"/>
              <w:right w:val="single" w:sz="6" w:space="0" w:color="auto"/>
            </w:tcBorders>
            <w:vAlign w:val="center"/>
          </w:tcPr>
          <w:p w14:paraId="25237236" w14:textId="77777777" w:rsidR="00693C0E" w:rsidRDefault="00693C0E" w:rsidP="00693C0E">
            <w:pPr>
              <w:pStyle w:val="FormFieldCaption"/>
              <w:jc w:val="center"/>
            </w:pPr>
            <w:r>
              <w:t>DEGREE</w:t>
            </w:r>
          </w:p>
          <w:p w14:paraId="5BE14008" w14:textId="77777777" w:rsidR="00693C0E" w:rsidRDefault="00693C0E" w:rsidP="00693C0E">
            <w:pPr>
              <w:pStyle w:val="FormFieldCaption"/>
              <w:jc w:val="center"/>
              <w:rPr>
                <w:i/>
                <w:iCs/>
              </w:rPr>
            </w:pPr>
            <w:r>
              <w:rPr>
                <w:i/>
                <w:iCs/>
              </w:rPr>
              <w:t>(</w:t>
            </w:r>
            <w:proofErr w:type="gramStart"/>
            <w:r>
              <w:rPr>
                <w:i/>
                <w:iCs/>
              </w:rPr>
              <w:t>if</w:t>
            </w:r>
            <w:proofErr w:type="gramEnd"/>
            <w:r>
              <w:rPr>
                <w:i/>
                <w:iCs/>
              </w:rPr>
              <w:t xml:space="preserve"> applicable)</w:t>
            </w:r>
          </w:p>
        </w:tc>
        <w:tc>
          <w:tcPr>
            <w:tcW w:w="1422" w:type="dxa"/>
            <w:tcBorders>
              <w:top w:val="single" w:sz="6" w:space="0" w:color="auto"/>
              <w:left w:val="nil"/>
              <w:bottom w:val="single" w:sz="6" w:space="0" w:color="auto"/>
              <w:right w:val="single" w:sz="6" w:space="0" w:color="auto"/>
            </w:tcBorders>
            <w:vAlign w:val="center"/>
          </w:tcPr>
          <w:p w14:paraId="6B625882" w14:textId="77777777" w:rsidR="00693C0E" w:rsidRDefault="00693C0E" w:rsidP="00693C0E">
            <w:pPr>
              <w:pStyle w:val="FormFieldCaption"/>
              <w:jc w:val="center"/>
            </w:pPr>
            <w:r>
              <w:t>MM/YY</w:t>
            </w:r>
          </w:p>
        </w:tc>
        <w:tc>
          <w:tcPr>
            <w:tcW w:w="2665" w:type="dxa"/>
            <w:tcBorders>
              <w:top w:val="single" w:sz="6" w:space="0" w:color="auto"/>
              <w:left w:val="single" w:sz="6" w:space="0" w:color="auto"/>
              <w:bottom w:val="single" w:sz="6" w:space="0" w:color="auto"/>
            </w:tcBorders>
            <w:vAlign w:val="center"/>
          </w:tcPr>
          <w:p w14:paraId="36EA58C1" w14:textId="77777777" w:rsidR="00693C0E" w:rsidRDefault="00693C0E" w:rsidP="00693C0E">
            <w:pPr>
              <w:pStyle w:val="FormFieldCaption"/>
              <w:jc w:val="center"/>
            </w:pPr>
            <w:r>
              <w:t>FIELD OF STUDY</w:t>
            </w:r>
          </w:p>
        </w:tc>
      </w:tr>
      <w:tr w:rsidR="00693C0E" w14:paraId="347923CD" w14:textId="77777777">
        <w:trPr>
          <w:jc w:val="center"/>
        </w:trPr>
        <w:tc>
          <w:tcPr>
            <w:tcW w:w="5058" w:type="dxa"/>
            <w:tcBorders>
              <w:top w:val="single" w:sz="6" w:space="0" w:color="auto"/>
              <w:left w:val="nil"/>
              <w:bottom w:val="nil"/>
              <w:right w:val="single" w:sz="4" w:space="0" w:color="auto"/>
            </w:tcBorders>
            <w:vAlign w:val="center"/>
          </w:tcPr>
          <w:p w14:paraId="764B0308" w14:textId="77777777" w:rsidR="00693C0E" w:rsidRDefault="00693C0E" w:rsidP="00693C0E">
            <w:pPr>
              <w:pStyle w:val="DataField11pt-Single"/>
            </w:pPr>
            <w:r>
              <w:t>Johns Hopkins University</w:t>
            </w:r>
          </w:p>
        </w:tc>
        <w:tc>
          <w:tcPr>
            <w:tcW w:w="1511" w:type="dxa"/>
            <w:gridSpan w:val="2"/>
            <w:tcBorders>
              <w:top w:val="single" w:sz="6" w:space="0" w:color="auto"/>
              <w:left w:val="single" w:sz="4" w:space="0" w:color="auto"/>
              <w:bottom w:val="nil"/>
              <w:right w:val="single" w:sz="4" w:space="0" w:color="auto"/>
            </w:tcBorders>
            <w:vAlign w:val="center"/>
          </w:tcPr>
          <w:p w14:paraId="36C04E75" w14:textId="77777777" w:rsidR="00693C0E" w:rsidRDefault="00693C0E" w:rsidP="00693C0E">
            <w:pPr>
              <w:pStyle w:val="DataField11pt-Single"/>
              <w:jc w:val="center"/>
            </w:pPr>
            <w:r>
              <w:t>B.M.</w:t>
            </w:r>
          </w:p>
        </w:tc>
        <w:tc>
          <w:tcPr>
            <w:tcW w:w="1422" w:type="dxa"/>
            <w:tcBorders>
              <w:top w:val="single" w:sz="6" w:space="0" w:color="auto"/>
              <w:left w:val="single" w:sz="4" w:space="0" w:color="auto"/>
              <w:bottom w:val="nil"/>
              <w:right w:val="single" w:sz="4" w:space="0" w:color="auto"/>
            </w:tcBorders>
            <w:vAlign w:val="center"/>
          </w:tcPr>
          <w:p w14:paraId="0A8E9E6C" w14:textId="77777777" w:rsidR="00693C0E" w:rsidRDefault="00693C0E" w:rsidP="00693C0E">
            <w:pPr>
              <w:pStyle w:val="DataField11pt-Single"/>
              <w:jc w:val="center"/>
            </w:pPr>
            <w:r>
              <w:t>05/97</w:t>
            </w:r>
          </w:p>
        </w:tc>
        <w:tc>
          <w:tcPr>
            <w:tcW w:w="2665" w:type="dxa"/>
            <w:tcBorders>
              <w:top w:val="single" w:sz="6" w:space="0" w:color="auto"/>
              <w:left w:val="single" w:sz="4" w:space="0" w:color="auto"/>
              <w:bottom w:val="nil"/>
              <w:right w:val="nil"/>
            </w:tcBorders>
            <w:vAlign w:val="center"/>
          </w:tcPr>
          <w:p w14:paraId="1C604664" w14:textId="77777777" w:rsidR="00693C0E" w:rsidRDefault="00693C0E" w:rsidP="00693C0E">
            <w:pPr>
              <w:pStyle w:val="DataField11pt-Single"/>
            </w:pPr>
            <w:r>
              <w:t>Music</w:t>
            </w:r>
          </w:p>
        </w:tc>
      </w:tr>
      <w:tr w:rsidR="00693C0E" w14:paraId="4E605DB8" w14:textId="77777777">
        <w:trPr>
          <w:jc w:val="center"/>
        </w:trPr>
        <w:tc>
          <w:tcPr>
            <w:tcW w:w="5058" w:type="dxa"/>
            <w:tcBorders>
              <w:top w:val="nil"/>
              <w:left w:val="nil"/>
              <w:bottom w:val="nil"/>
              <w:right w:val="single" w:sz="4" w:space="0" w:color="auto"/>
            </w:tcBorders>
            <w:vAlign w:val="center"/>
          </w:tcPr>
          <w:p w14:paraId="265F2F2A" w14:textId="77777777" w:rsidR="00693C0E" w:rsidRDefault="00693C0E" w:rsidP="00693C0E">
            <w:pPr>
              <w:pStyle w:val="DataField11pt-Single"/>
            </w:pPr>
            <w:r>
              <w:t>University of Wisconsin, Madison</w:t>
            </w:r>
          </w:p>
        </w:tc>
        <w:tc>
          <w:tcPr>
            <w:tcW w:w="1511" w:type="dxa"/>
            <w:gridSpan w:val="2"/>
            <w:tcBorders>
              <w:top w:val="nil"/>
              <w:left w:val="single" w:sz="4" w:space="0" w:color="auto"/>
              <w:bottom w:val="nil"/>
              <w:right w:val="single" w:sz="4" w:space="0" w:color="auto"/>
            </w:tcBorders>
            <w:vAlign w:val="center"/>
          </w:tcPr>
          <w:p w14:paraId="2CA120DF" w14:textId="77777777" w:rsidR="00693C0E" w:rsidRDefault="00693C0E" w:rsidP="00693C0E">
            <w:pPr>
              <w:pStyle w:val="DataField11pt-Single"/>
              <w:jc w:val="center"/>
            </w:pPr>
            <w:r>
              <w:t>Ph.D.</w:t>
            </w:r>
          </w:p>
        </w:tc>
        <w:tc>
          <w:tcPr>
            <w:tcW w:w="1422" w:type="dxa"/>
            <w:tcBorders>
              <w:top w:val="nil"/>
              <w:left w:val="single" w:sz="4" w:space="0" w:color="auto"/>
              <w:bottom w:val="nil"/>
              <w:right w:val="single" w:sz="4" w:space="0" w:color="auto"/>
            </w:tcBorders>
            <w:vAlign w:val="center"/>
          </w:tcPr>
          <w:p w14:paraId="3C76D0D8" w14:textId="77777777" w:rsidR="00693C0E" w:rsidRDefault="00693C0E" w:rsidP="00693C0E">
            <w:pPr>
              <w:pStyle w:val="DataField11pt-Single"/>
              <w:jc w:val="center"/>
            </w:pPr>
            <w:r>
              <w:t>08/08</w:t>
            </w:r>
          </w:p>
        </w:tc>
        <w:tc>
          <w:tcPr>
            <w:tcW w:w="2665" w:type="dxa"/>
            <w:tcBorders>
              <w:top w:val="nil"/>
              <w:left w:val="single" w:sz="4" w:space="0" w:color="auto"/>
              <w:bottom w:val="nil"/>
              <w:right w:val="nil"/>
            </w:tcBorders>
            <w:vAlign w:val="center"/>
          </w:tcPr>
          <w:p w14:paraId="3536D366" w14:textId="77777777" w:rsidR="00693C0E" w:rsidRDefault="00693C0E" w:rsidP="00693C0E">
            <w:pPr>
              <w:pStyle w:val="DataField11pt-Single"/>
            </w:pPr>
          </w:p>
          <w:p w14:paraId="1358BD3C" w14:textId="77777777" w:rsidR="00693C0E" w:rsidRDefault="00693C0E" w:rsidP="00693C0E">
            <w:pPr>
              <w:pStyle w:val="DataField11pt-Single"/>
            </w:pPr>
            <w:r>
              <w:t>Computer Science</w:t>
            </w:r>
          </w:p>
        </w:tc>
      </w:tr>
      <w:tr w:rsidR="00693C0E" w14:paraId="68B0200E" w14:textId="77777777">
        <w:trPr>
          <w:jc w:val="center"/>
        </w:trPr>
        <w:tc>
          <w:tcPr>
            <w:tcW w:w="5058" w:type="dxa"/>
            <w:tcBorders>
              <w:top w:val="nil"/>
              <w:left w:val="nil"/>
              <w:bottom w:val="nil"/>
              <w:right w:val="single" w:sz="4" w:space="0" w:color="auto"/>
            </w:tcBorders>
            <w:vAlign w:val="center"/>
          </w:tcPr>
          <w:p w14:paraId="61F83B27" w14:textId="77777777" w:rsidR="00693C0E" w:rsidRDefault="00693C0E" w:rsidP="00693C0E">
            <w:pPr>
              <w:pStyle w:val="DataField11pt-Single"/>
            </w:pPr>
            <w:r>
              <w:t>Johns Hopkins University</w:t>
            </w:r>
          </w:p>
        </w:tc>
        <w:tc>
          <w:tcPr>
            <w:tcW w:w="1511" w:type="dxa"/>
            <w:gridSpan w:val="2"/>
            <w:tcBorders>
              <w:top w:val="nil"/>
              <w:left w:val="single" w:sz="4" w:space="0" w:color="auto"/>
              <w:bottom w:val="nil"/>
              <w:right w:val="single" w:sz="4" w:space="0" w:color="auto"/>
            </w:tcBorders>
            <w:vAlign w:val="center"/>
          </w:tcPr>
          <w:p w14:paraId="0B0222CF" w14:textId="77777777" w:rsidR="00693C0E" w:rsidRDefault="00693C0E" w:rsidP="00693C0E">
            <w:pPr>
              <w:pStyle w:val="DataField11pt-Single"/>
              <w:jc w:val="center"/>
            </w:pPr>
            <w:r>
              <w:t>Postdoctoral</w:t>
            </w:r>
          </w:p>
        </w:tc>
        <w:tc>
          <w:tcPr>
            <w:tcW w:w="1422" w:type="dxa"/>
            <w:tcBorders>
              <w:top w:val="nil"/>
              <w:left w:val="single" w:sz="4" w:space="0" w:color="auto"/>
              <w:bottom w:val="nil"/>
              <w:right w:val="single" w:sz="4" w:space="0" w:color="auto"/>
            </w:tcBorders>
            <w:vAlign w:val="center"/>
          </w:tcPr>
          <w:p w14:paraId="6BFE184B" w14:textId="4EE47146" w:rsidR="00693C0E" w:rsidRDefault="00693C0E" w:rsidP="00693C0E">
            <w:pPr>
              <w:pStyle w:val="DataField11pt-Single"/>
              <w:jc w:val="center"/>
            </w:pPr>
            <w:r>
              <w:t>06/</w:t>
            </w:r>
            <w:r w:rsidR="006A4114">
              <w:t>10</w:t>
            </w:r>
          </w:p>
        </w:tc>
        <w:tc>
          <w:tcPr>
            <w:tcW w:w="2665" w:type="dxa"/>
            <w:tcBorders>
              <w:top w:val="nil"/>
              <w:left w:val="single" w:sz="4" w:space="0" w:color="auto"/>
              <w:bottom w:val="nil"/>
              <w:right w:val="nil"/>
            </w:tcBorders>
            <w:vAlign w:val="center"/>
          </w:tcPr>
          <w:p w14:paraId="0DF6DED3" w14:textId="77777777" w:rsidR="00693C0E" w:rsidRDefault="00693C0E" w:rsidP="00693C0E">
            <w:pPr>
              <w:pStyle w:val="DataField11pt-Single"/>
            </w:pPr>
          </w:p>
          <w:p w14:paraId="52CEF594" w14:textId="77777777" w:rsidR="00693C0E" w:rsidRDefault="00C8096E" w:rsidP="00693C0E">
            <w:pPr>
              <w:pStyle w:val="DataField11pt-Single"/>
            </w:pPr>
            <w:r>
              <w:t>Biostatistics-</w:t>
            </w:r>
            <w:r w:rsidR="00693C0E">
              <w:t>Computational Genomics</w:t>
            </w:r>
          </w:p>
        </w:tc>
      </w:tr>
      <w:tr w:rsidR="00693C0E" w14:paraId="48078E37" w14:textId="77777777">
        <w:trPr>
          <w:jc w:val="center"/>
        </w:trPr>
        <w:tc>
          <w:tcPr>
            <w:tcW w:w="5058" w:type="dxa"/>
            <w:tcBorders>
              <w:top w:val="nil"/>
              <w:left w:val="nil"/>
              <w:right w:val="single" w:sz="4" w:space="0" w:color="auto"/>
            </w:tcBorders>
            <w:vAlign w:val="center"/>
          </w:tcPr>
          <w:p w14:paraId="47CAAB80" w14:textId="77777777" w:rsidR="00693C0E" w:rsidRDefault="00693C0E" w:rsidP="00693C0E">
            <w:pPr>
              <w:pStyle w:val="DataField11pt-Single"/>
            </w:pPr>
          </w:p>
        </w:tc>
        <w:tc>
          <w:tcPr>
            <w:tcW w:w="1511" w:type="dxa"/>
            <w:gridSpan w:val="2"/>
            <w:tcBorders>
              <w:top w:val="nil"/>
              <w:left w:val="single" w:sz="4" w:space="0" w:color="auto"/>
              <w:right w:val="single" w:sz="4" w:space="0" w:color="auto"/>
            </w:tcBorders>
            <w:vAlign w:val="center"/>
          </w:tcPr>
          <w:p w14:paraId="4522355A" w14:textId="77777777" w:rsidR="00693C0E" w:rsidRDefault="00693C0E" w:rsidP="00693C0E">
            <w:pPr>
              <w:pStyle w:val="DataField11pt-Single"/>
              <w:jc w:val="center"/>
            </w:pPr>
          </w:p>
        </w:tc>
        <w:tc>
          <w:tcPr>
            <w:tcW w:w="1422" w:type="dxa"/>
            <w:tcBorders>
              <w:top w:val="nil"/>
              <w:left w:val="single" w:sz="4" w:space="0" w:color="auto"/>
              <w:right w:val="single" w:sz="4" w:space="0" w:color="auto"/>
            </w:tcBorders>
            <w:vAlign w:val="center"/>
          </w:tcPr>
          <w:p w14:paraId="4C658E18" w14:textId="77777777" w:rsidR="00693C0E" w:rsidRDefault="00693C0E" w:rsidP="00693C0E">
            <w:pPr>
              <w:pStyle w:val="DataField11pt-Single"/>
              <w:jc w:val="center"/>
            </w:pPr>
          </w:p>
        </w:tc>
        <w:tc>
          <w:tcPr>
            <w:tcW w:w="2665" w:type="dxa"/>
            <w:tcBorders>
              <w:top w:val="nil"/>
              <w:left w:val="single" w:sz="4" w:space="0" w:color="auto"/>
              <w:right w:val="nil"/>
            </w:tcBorders>
            <w:vAlign w:val="center"/>
          </w:tcPr>
          <w:p w14:paraId="6F0904BC" w14:textId="77777777" w:rsidR="00693C0E" w:rsidRDefault="00693C0E" w:rsidP="00693C0E">
            <w:pPr>
              <w:pStyle w:val="DataField11pt-Single"/>
            </w:pPr>
          </w:p>
        </w:tc>
      </w:tr>
      <w:tr w:rsidR="00693C0E" w14:paraId="42729DB4" w14:textId="77777777">
        <w:trPr>
          <w:jc w:val="center"/>
        </w:trPr>
        <w:tc>
          <w:tcPr>
            <w:tcW w:w="5058" w:type="dxa"/>
            <w:tcBorders>
              <w:top w:val="nil"/>
              <w:left w:val="nil"/>
              <w:bottom w:val="single" w:sz="6" w:space="0" w:color="auto"/>
              <w:right w:val="single" w:sz="4" w:space="0" w:color="auto"/>
            </w:tcBorders>
            <w:vAlign w:val="center"/>
          </w:tcPr>
          <w:p w14:paraId="64E7BFCD" w14:textId="77777777" w:rsidR="00693C0E" w:rsidRDefault="00693C0E" w:rsidP="00693C0E">
            <w:pPr>
              <w:pStyle w:val="DataField11pt-Single"/>
            </w:pPr>
          </w:p>
        </w:tc>
        <w:tc>
          <w:tcPr>
            <w:tcW w:w="1511" w:type="dxa"/>
            <w:gridSpan w:val="2"/>
            <w:tcBorders>
              <w:top w:val="nil"/>
              <w:left w:val="single" w:sz="4" w:space="0" w:color="auto"/>
              <w:bottom w:val="single" w:sz="6" w:space="0" w:color="auto"/>
              <w:right w:val="single" w:sz="4" w:space="0" w:color="auto"/>
            </w:tcBorders>
            <w:vAlign w:val="center"/>
          </w:tcPr>
          <w:p w14:paraId="29B603ED" w14:textId="77777777" w:rsidR="00693C0E" w:rsidRDefault="00693C0E" w:rsidP="00693C0E">
            <w:pPr>
              <w:pStyle w:val="DataField11pt-Single"/>
              <w:jc w:val="center"/>
            </w:pPr>
          </w:p>
        </w:tc>
        <w:tc>
          <w:tcPr>
            <w:tcW w:w="1422" w:type="dxa"/>
            <w:tcBorders>
              <w:top w:val="nil"/>
              <w:left w:val="single" w:sz="4" w:space="0" w:color="auto"/>
              <w:bottom w:val="single" w:sz="6" w:space="0" w:color="auto"/>
              <w:right w:val="single" w:sz="4" w:space="0" w:color="auto"/>
            </w:tcBorders>
            <w:vAlign w:val="center"/>
          </w:tcPr>
          <w:p w14:paraId="46C15684" w14:textId="77777777" w:rsidR="00693C0E" w:rsidRDefault="00693C0E" w:rsidP="00693C0E">
            <w:pPr>
              <w:pStyle w:val="DataField11pt-Single"/>
              <w:jc w:val="center"/>
            </w:pPr>
          </w:p>
        </w:tc>
        <w:tc>
          <w:tcPr>
            <w:tcW w:w="2665" w:type="dxa"/>
            <w:tcBorders>
              <w:top w:val="nil"/>
              <w:left w:val="single" w:sz="4" w:space="0" w:color="auto"/>
              <w:bottom w:val="single" w:sz="6" w:space="0" w:color="auto"/>
              <w:right w:val="nil"/>
            </w:tcBorders>
            <w:vAlign w:val="center"/>
          </w:tcPr>
          <w:p w14:paraId="0220E15F" w14:textId="77777777" w:rsidR="00693C0E" w:rsidRDefault="00693C0E" w:rsidP="00693C0E">
            <w:pPr>
              <w:pStyle w:val="DataField11pt-Single"/>
            </w:pPr>
          </w:p>
        </w:tc>
      </w:tr>
    </w:tbl>
    <w:p w14:paraId="4218D1F8" w14:textId="77777777" w:rsidR="00693C0E" w:rsidRDefault="00693C0E" w:rsidP="00693C0E">
      <w:pPr>
        <w:pStyle w:val="Subtitle"/>
      </w:pPr>
      <w:r>
        <w:t>A</w:t>
      </w:r>
      <w:r w:rsidRPr="00B13DB3">
        <w:t>. P</w:t>
      </w:r>
      <w:r>
        <w:t>ersonal Statement</w:t>
      </w:r>
    </w:p>
    <w:p w14:paraId="1691DBA9" w14:textId="623067FE" w:rsidR="00195173" w:rsidRDefault="00195173" w:rsidP="00195173">
      <w:r>
        <w:t xml:space="preserve">I have received interdisciplinary training in Computer Science, Biostatistics and Computational Genomics. </w:t>
      </w:r>
      <w:r w:rsidR="00693C0E">
        <w:t xml:space="preserve">I have </w:t>
      </w:r>
      <w:r w:rsidR="007D5F3C">
        <w:t xml:space="preserve">over 7 years of experience and </w:t>
      </w:r>
      <w:r w:rsidR="00693C0E">
        <w:t>a broad background in computational genomics and biostatistics, with sp</w:t>
      </w:r>
      <w:r w:rsidR="0011334F">
        <w:t xml:space="preserve">ecific experience in the analysis of high-throughput epigenetic </w:t>
      </w:r>
      <w:r w:rsidR="007D5F3C">
        <w:t xml:space="preserve">and </w:t>
      </w:r>
      <w:proofErr w:type="spellStart"/>
      <w:r w:rsidR="007D5F3C">
        <w:t>metagenomics</w:t>
      </w:r>
      <w:proofErr w:type="spellEnd"/>
      <w:r w:rsidR="007D5F3C">
        <w:t xml:space="preserve"> </w:t>
      </w:r>
      <w:r w:rsidR="0011334F">
        <w:t>data</w:t>
      </w:r>
      <w:r w:rsidR="00693C0E">
        <w:t xml:space="preserve">. </w:t>
      </w:r>
      <w:r w:rsidR="007D5F3C">
        <w:t xml:space="preserve">I lead development of the </w:t>
      </w:r>
      <w:proofErr w:type="spellStart"/>
      <w:r w:rsidR="007D5F3C">
        <w:t>Epiviz</w:t>
      </w:r>
      <w:proofErr w:type="spellEnd"/>
      <w:r w:rsidR="007D5F3C">
        <w:t xml:space="preserve"> (</w:t>
      </w:r>
      <w:hyperlink r:id="rId8" w:history="1">
        <w:r w:rsidR="007D5F3C" w:rsidRPr="00007463">
          <w:rPr>
            <w:rStyle w:val="Hyperlink"/>
          </w:rPr>
          <w:t>http://epiviz.cbcb.umd.edu</w:t>
        </w:r>
      </w:hyperlink>
      <w:r w:rsidR="007D5F3C">
        <w:t xml:space="preserve">, </w:t>
      </w:r>
      <w:proofErr w:type="spellStart"/>
      <w:r w:rsidR="007D5F3C">
        <w:t>Chelaru</w:t>
      </w:r>
      <w:proofErr w:type="spellEnd"/>
      <w:r w:rsidR="007D5F3C">
        <w:t xml:space="preserve"> et al., 2014) </w:t>
      </w:r>
      <w:r>
        <w:t xml:space="preserve">big genomics </w:t>
      </w:r>
      <w:r w:rsidR="007D5F3C">
        <w:t>data visualization tool. I also le</w:t>
      </w:r>
      <w:r>
        <w:t>a</w:t>
      </w:r>
      <w:r w:rsidR="007D5F3C">
        <w:t xml:space="preserve">d development in new statistical and computational methods for the analysis of </w:t>
      </w:r>
      <w:proofErr w:type="spellStart"/>
      <w:r w:rsidR="007D5F3C">
        <w:t>metagenomics</w:t>
      </w:r>
      <w:proofErr w:type="spellEnd"/>
      <w:r w:rsidR="007D5F3C">
        <w:t xml:space="preserve"> data, and its associated </w:t>
      </w:r>
      <w:proofErr w:type="spellStart"/>
      <w:r w:rsidR="007D5F3C">
        <w:t>metagenomeSeq</w:t>
      </w:r>
      <w:proofErr w:type="spellEnd"/>
      <w:r w:rsidR="007D5F3C">
        <w:t xml:space="preserve"> software tool (Paulson, et al., 2013). I collaborate extensively with biomedical researchers. </w:t>
      </w:r>
      <w:r>
        <w:t xml:space="preserve">I have developed methods and software for second-generation sequencing data analysis: quality assessment, </w:t>
      </w:r>
      <w:proofErr w:type="gramStart"/>
      <w:r>
        <w:t>base-calling</w:t>
      </w:r>
      <w:proofErr w:type="gramEnd"/>
      <w:r>
        <w:t xml:space="preserve">, variant discovery, bisulfite sequencing for DNA methylation measurement, and </w:t>
      </w:r>
      <w:proofErr w:type="spellStart"/>
      <w:r>
        <w:t>RNAseq</w:t>
      </w:r>
      <w:proofErr w:type="spellEnd"/>
      <w:r>
        <w:t xml:space="preserve"> analysis as co-Investigator on several NIH-funded grants. I have overseen training and advised pre-doctoral students in Computer Science, Applied Statistics, Scientific Computation and Computational Biology, who have transitioned to post-doctoral positions both in academia and industry.</w:t>
      </w:r>
      <w:r w:rsidRPr="00195173">
        <w:t xml:space="preserve"> </w:t>
      </w:r>
      <w:r>
        <w:t>In summary, my demonstrated experience and expertise in developing and applying big data analysis tools and methods, and record of training of pre-doctoral students in this area qualifies me to participate in the proposed training activities of this project.</w:t>
      </w:r>
    </w:p>
    <w:p w14:paraId="0CB9D37A" w14:textId="77777777" w:rsidR="00693C0E" w:rsidRPr="00B13DB3" w:rsidRDefault="00693C0E" w:rsidP="00693C0E">
      <w:pPr>
        <w:pStyle w:val="Subtitle"/>
      </w:pPr>
      <w:r>
        <w:t>B. Positions and Honors</w:t>
      </w:r>
    </w:p>
    <w:p w14:paraId="4FF2B168" w14:textId="77777777" w:rsidR="00693C0E" w:rsidRPr="0049068A" w:rsidRDefault="00693C0E" w:rsidP="00693C0E">
      <w:pPr>
        <w:pStyle w:val="Subtitle2"/>
      </w:pPr>
      <w:r w:rsidRPr="0049068A">
        <w:t>Positions and Employment</w:t>
      </w:r>
    </w:p>
    <w:p w14:paraId="2C8CC490" w14:textId="77777777" w:rsidR="00693C0E" w:rsidRDefault="00693C0E" w:rsidP="00693C0E">
      <w:pPr>
        <w:ind w:left="2160" w:hanging="2160"/>
      </w:pPr>
      <w:r>
        <w:t>2003-2008</w:t>
      </w:r>
      <w:r>
        <w:tab/>
        <w:t>Research Assistant, Departments of Computer Sciences and Statistics, University of Wisconsin, Madison, WI</w:t>
      </w:r>
      <w:r>
        <w:tab/>
        <w:t xml:space="preserve"> </w:t>
      </w:r>
    </w:p>
    <w:p w14:paraId="2F5DA3BA" w14:textId="77777777" w:rsidR="00693C0E" w:rsidRDefault="00693C0E" w:rsidP="00693C0E">
      <w:pPr>
        <w:ind w:left="2160" w:hanging="2160"/>
      </w:pPr>
      <w:r>
        <w:t>2008-2010</w:t>
      </w:r>
      <w:r>
        <w:tab/>
        <w:t xml:space="preserve">Postdoctoral Fellow, Department of Biostatistics, Johns Hopkins Bloomberg School of Public Health, Baltimore, MD </w:t>
      </w:r>
    </w:p>
    <w:p w14:paraId="365EE120" w14:textId="77777777" w:rsidR="00693C0E" w:rsidRDefault="00693C0E" w:rsidP="00693C0E">
      <w:pPr>
        <w:ind w:left="2160" w:hanging="2160"/>
      </w:pPr>
      <w:r>
        <w:t>2010-</w:t>
      </w:r>
      <w:r>
        <w:tab/>
        <w:t xml:space="preserve">Assistant Professor, Department of Computer Science, UM Institute for Advanced Computer Studies and the Center for Bioinformatics and Computational Biology, University of Maryland, College Park, MD </w:t>
      </w:r>
    </w:p>
    <w:p w14:paraId="70EF5832" w14:textId="77777777" w:rsidR="00693C0E" w:rsidRPr="00A83312" w:rsidRDefault="00693C0E" w:rsidP="00693C0E">
      <w:pPr>
        <w:pStyle w:val="Subtitle2"/>
      </w:pPr>
      <w:r w:rsidRPr="00A83312">
        <w:t>Other Experience and Professional Memberships</w:t>
      </w:r>
    </w:p>
    <w:p w14:paraId="2917729F" w14:textId="77777777" w:rsidR="00693C0E" w:rsidRDefault="00693C0E" w:rsidP="00693C0E">
      <w:r>
        <w:t>2010-</w:t>
      </w:r>
      <w:r>
        <w:tab/>
      </w:r>
      <w:r>
        <w:tab/>
      </w:r>
      <w:r>
        <w:tab/>
        <w:t>Member, Association for Computing Machinery</w:t>
      </w:r>
    </w:p>
    <w:p w14:paraId="03950C5E" w14:textId="77777777" w:rsidR="00693C0E" w:rsidRDefault="00693C0E" w:rsidP="00693C0E">
      <w:r>
        <w:t>2010-</w:t>
      </w:r>
      <w:r>
        <w:tab/>
      </w:r>
      <w:r>
        <w:tab/>
      </w:r>
      <w:r>
        <w:tab/>
        <w:t>Member, International Society for Computational Biology</w:t>
      </w:r>
    </w:p>
    <w:p w14:paraId="08081405" w14:textId="77777777" w:rsidR="00693C0E" w:rsidRPr="00A83312" w:rsidRDefault="00693C0E" w:rsidP="00693C0E">
      <w:pPr>
        <w:pStyle w:val="Subtitle2"/>
      </w:pPr>
      <w:r w:rsidRPr="00A83312">
        <w:lastRenderedPageBreak/>
        <w:t>Honors</w:t>
      </w:r>
    </w:p>
    <w:p w14:paraId="38F4BB30" w14:textId="77777777" w:rsidR="00693C0E" w:rsidRDefault="00693C0E" w:rsidP="00693C0E">
      <w:r>
        <w:t>2003-2007</w:t>
      </w:r>
      <w:r>
        <w:tab/>
      </w:r>
      <w:r>
        <w:tab/>
        <w:t xml:space="preserve">Ford Fellowship, National Academies of Science </w:t>
      </w:r>
    </w:p>
    <w:p w14:paraId="1FBE0332" w14:textId="77777777" w:rsidR="00693C0E" w:rsidRDefault="00693C0E" w:rsidP="00693C0E">
      <w:r>
        <w:t>2004-2005</w:t>
      </w:r>
      <w:r>
        <w:tab/>
      </w:r>
      <w:r>
        <w:tab/>
        <w:t xml:space="preserve">Advanced Opportunity Fellowship, University of Wisconsin-Madison </w:t>
      </w:r>
    </w:p>
    <w:p w14:paraId="578D5813" w14:textId="6F0D0CEB" w:rsidR="00693C0E" w:rsidRDefault="00693C0E" w:rsidP="00693C0E">
      <w:pPr>
        <w:pStyle w:val="Subtitle"/>
      </w:pPr>
      <w:r>
        <w:t xml:space="preserve">C. </w:t>
      </w:r>
      <w:r w:rsidR="00F82BE3">
        <w:t>Contribution to Science</w:t>
      </w:r>
    </w:p>
    <w:p w14:paraId="307D2CBF" w14:textId="5C9CA5E2" w:rsidR="00F82BE3" w:rsidRDefault="00F82BE3" w:rsidP="00F82BE3">
      <w:r>
        <w:t xml:space="preserve">1. </w:t>
      </w:r>
      <w:r>
        <w:rPr>
          <w:i/>
        </w:rPr>
        <w:t xml:space="preserve">Cancer </w:t>
      </w:r>
      <w:r w:rsidR="00C86424">
        <w:rPr>
          <w:i/>
        </w:rPr>
        <w:t>Functional Genomics</w:t>
      </w:r>
      <w:r>
        <w:rPr>
          <w:i/>
        </w:rPr>
        <w:t xml:space="preserve">. </w:t>
      </w:r>
      <w:r>
        <w:t xml:space="preserve">Understanding the role of epigenetics in </w:t>
      </w:r>
      <w:proofErr w:type="spellStart"/>
      <w:r>
        <w:t>tumorigenesis</w:t>
      </w:r>
      <w:proofErr w:type="spellEnd"/>
      <w:r>
        <w:t xml:space="preserve"> is a fundamental question in cancer research. I was co-first author in a landmark publication in cancer </w:t>
      </w:r>
      <w:proofErr w:type="spellStart"/>
      <w:r>
        <w:t>epigenomics</w:t>
      </w:r>
      <w:proofErr w:type="spellEnd"/>
      <w:r>
        <w:t xml:space="preserve">: the first whole </w:t>
      </w:r>
      <w:proofErr w:type="spellStart"/>
      <w:r>
        <w:t>methylome</w:t>
      </w:r>
      <w:proofErr w:type="spellEnd"/>
      <w:r>
        <w:t xml:space="preserve"> study at base-pair resolution in cancer using second-generation sequencing. This study was the first to identify long regions in the genome where stable methylation in the normal cell is lost in tumors, and identifying resulting changes in gene expression. Subsequent studies have identified similar mechanisms as part of one of the first studies of DNA methylation across multiple tissue types and across cancer progression. I have led subsequent studies on the impact of these findings on gene expression regulation and how to translate these to stable expression-based biomarkers. </w:t>
      </w:r>
    </w:p>
    <w:p w14:paraId="2A270705" w14:textId="77777777" w:rsidR="00EE269D" w:rsidRDefault="00EE269D" w:rsidP="00C86D5A">
      <w:pPr>
        <w:numPr>
          <w:ilvl w:val="0"/>
          <w:numId w:val="24"/>
        </w:numPr>
      </w:pPr>
      <w:r>
        <w:t xml:space="preserve">Hansen, K., </w:t>
      </w:r>
      <w:proofErr w:type="spellStart"/>
      <w:r>
        <w:t>Timp</w:t>
      </w:r>
      <w:proofErr w:type="spellEnd"/>
      <w:r>
        <w:t xml:space="preserve">, W., </w:t>
      </w:r>
      <w:r>
        <w:rPr>
          <w:b/>
        </w:rPr>
        <w:t xml:space="preserve">Bravo, H.C., </w:t>
      </w:r>
      <w:proofErr w:type="spellStart"/>
      <w:r>
        <w:t>Sabunciyan</w:t>
      </w:r>
      <w:proofErr w:type="spellEnd"/>
      <w:r>
        <w:t xml:space="preserve">, S., </w:t>
      </w:r>
      <w:proofErr w:type="spellStart"/>
      <w:r>
        <w:t>Langmead</w:t>
      </w:r>
      <w:proofErr w:type="spellEnd"/>
      <w:r>
        <w:t xml:space="preserve">, B., McDonald, O.G., Wen, B., Wu, H., </w:t>
      </w:r>
      <w:proofErr w:type="spellStart"/>
      <w:r>
        <w:t>Diep</w:t>
      </w:r>
      <w:proofErr w:type="spellEnd"/>
      <w:r>
        <w:t xml:space="preserve">, D., </w:t>
      </w:r>
      <w:proofErr w:type="spellStart"/>
      <w:r>
        <w:t>Briem</w:t>
      </w:r>
      <w:proofErr w:type="spellEnd"/>
      <w:r>
        <w:t>, E., Zhang, K., Irizarry, R.A., Feinberg, A.P. (2011). Increased methylation variation in epigenetic domains across cancer types. Nature Genetics 43 (8), 768-75. PMC3145050.</w:t>
      </w:r>
    </w:p>
    <w:p w14:paraId="364503FD" w14:textId="77777777" w:rsidR="00EE269D" w:rsidRDefault="00EE269D" w:rsidP="00C86D5A">
      <w:pPr>
        <w:numPr>
          <w:ilvl w:val="0"/>
          <w:numId w:val="24"/>
        </w:numPr>
      </w:pPr>
      <w:proofErr w:type="spellStart"/>
      <w:r w:rsidRPr="0029687F">
        <w:t>Timp</w:t>
      </w:r>
      <w:proofErr w:type="spellEnd"/>
      <w:r w:rsidRPr="0029687F">
        <w:t xml:space="preserve">, W., </w:t>
      </w:r>
      <w:r w:rsidRPr="0029687F">
        <w:rPr>
          <w:b/>
        </w:rPr>
        <w:t>Bravo, H. C</w:t>
      </w:r>
      <w:r w:rsidRPr="0029687F">
        <w:t xml:space="preserve">., McDonald, O. G., </w:t>
      </w:r>
      <w:proofErr w:type="spellStart"/>
      <w:r w:rsidRPr="0029687F">
        <w:t>Goggins</w:t>
      </w:r>
      <w:proofErr w:type="spellEnd"/>
      <w:r w:rsidRPr="0029687F">
        <w:t xml:space="preserve">, M., </w:t>
      </w:r>
      <w:proofErr w:type="spellStart"/>
      <w:r w:rsidRPr="0029687F">
        <w:t>Umbricht</w:t>
      </w:r>
      <w:proofErr w:type="spellEnd"/>
      <w:r w:rsidRPr="0029687F">
        <w:t xml:space="preserve">, C., </w:t>
      </w:r>
      <w:proofErr w:type="spellStart"/>
      <w:r w:rsidRPr="0029687F">
        <w:t>Zeiger</w:t>
      </w:r>
      <w:proofErr w:type="spellEnd"/>
      <w:r w:rsidRPr="0029687F">
        <w:t xml:space="preserve">, M., et al. (2014). Large </w:t>
      </w:r>
      <w:proofErr w:type="spellStart"/>
      <w:r w:rsidRPr="0029687F">
        <w:t>hypomethylated</w:t>
      </w:r>
      <w:proofErr w:type="spellEnd"/>
      <w:r w:rsidRPr="0029687F">
        <w:t xml:space="preserve"> blocks as a universal defining epigenetic alteration in human solid tumors. </w:t>
      </w:r>
      <w:r w:rsidRPr="009A580C">
        <w:rPr>
          <w:iCs/>
        </w:rPr>
        <w:t>Genome Medicine</w:t>
      </w:r>
      <w:r w:rsidRPr="0029687F">
        <w:t xml:space="preserve">, </w:t>
      </w:r>
      <w:r w:rsidRPr="0029687F">
        <w:rPr>
          <w:i/>
          <w:iCs/>
        </w:rPr>
        <w:t>6</w:t>
      </w:r>
      <w:r w:rsidRPr="0029687F">
        <w:t>(8), 61. doi</w:t>
      </w:r>
      <w:proofErr w:type="gramStart"/>
      <w:r w:rsidRPr="0029687F">
        <w:t>:10.1186</w:t>
      </w:r>
      <w:proofErr w:type="gramEnd"/>
      <w:r w:rsidRPr="0029687F">
        <w:t>/s13073-014-0061-y</w:t>
      </w:r>
    </w:p>
    <w:p w14:paraId="62A99A79" w14:textId="77777777" w:rsidR="00EE269D" w:rsidRPr="009A3218" w:rsidRDefault="00EE269D" w:rsidP="00C86D5A">
      <w:pPr>
        <w:widowControl w:val="0"/>
        <w:numPr>
          <w:ilvl w:val="0"/>
          <w:numId w:val="2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eastAsia="Calibri" w:cs="Arial"/>
          <w:szCs w:val="22"/>
        </w:rPr>
      </w:pPr>
      <w:r>
        <w:rPr>
          <w:rFonts w:eastAsia="Calibri" w:cs="Arial"/>
          <w:b/>
          <w:szCs w:val="22"/>
        </w:rPr>
        <w:t>Bravo, H.C.</w:t>
      </w:r>
      <w:r>
        <w:rPr>
          <w:rFonts w:eastAsia="Calibri" w:cs="Arial"/>
          <w:szCs w:val="22"/>
        </w:rPr>
        <w:t xml:space="preserve">, </w:t>
      </w:r>
      <w:proofErr w:type="spellStart"/>
      <w:r>
        <w:rPr>
          <w:rFonts w:eastAsia="Calibri" w:cs="Arial"/>
          <w:szCs w:val="22"/>
        </w:rPr>
        <w:t>V.Pihur</w:t>
      </w:r>
      <w:proofErr w:type="spellEnd"/>
      <w:r>
        <w:rPr>
          <w:rFonts w:eastAsia="Calibri" w:cs="Arial"/>
          <w:szCs w:val="22"/>
        </w:rPr>
        <w:t xml:space="preserve">, </w:t>
      </w:r>
      <w:proofErr w:type="spellStart"/>
      <w:r>
        <w:rPr>
          <w:rFonts w:eastAsia="Calibri" w:cs="Arial"/>
          <w:szCs w:val="22"/>
        </w:rPr>
        <w:t>M.McCall</w:t>
      </w:r>
      <w:proofErr w:type="spellEnd"/>
      <w:r>
        <w:rPr>
          <w:rFonts w:eastAsia="Calibri" w:cs="Arial"/>
          <w:szCs w:val="22"/>
        </w:rPr>
        <w:t xml:space="preserve">, R.A. Irizarry, J.T. Leek (2012). Gene expression anti-profiles as a basis for cancer diagnostics. </w:t>
      </w:r>
      <w:r w:rsidRPr="00FB2664">
        <w:rPr>
          <w:rFonts w:eastAsia="Calibri" w:cs="Arial"/>
          <w:szCs w:val="22"/>
        </w:rPr>
        <w:t>BMC Bioinformatics</w:t>
      </w:r>
      <w:r>
        <w:rPr>
          <w:rFonts w:eastAsia="Calibri" w:cs="Arial"/>
          <w:i/>
          <w:szCs w:val="22"/>
        </w:rPr>
        <w:t xml:space="preserve">, </w:t>
      </w:r>
      <w:r>
        <w:rPr>
          <w:rFonts w:eastAsia="Calibri" w:cs="Arial"/>
          <w:szCs w:val="22"/>
        </w:rPr>
        <w:t>13:272. PMC3487959.</w:t>
      </w:r>
    </w:p>
    <w:p w14:paraId="62B590CD" w14:textId="0623BEAA" w:rsidR="00F82BE3" w:rsidRPr="0061086F" w:rsidRDefault="00EE269D" w:rsidP="00C86D5A">
      <w:pPr>
        <w:numPr>
          <w:ilvl w:val="0"/>
          <w:numId w:val="24"/>
        </w:numPr>
      </w:pPr>
      <w:proofErr w:type="spellStart"/>
      <w:r>
        <w:t>Dinalankara</w:t>
      </w:r>
      <w:proofErr w:type="spellEnd"/>
      <w:r>
        <w:t xml:space="preserve">, W., </w:t>
      </w:r>
      <w:r>
        <w:rPr>
          <w:b/>
        </w:rPr>
        <w:t xml:space="preserve">Bravo, H.C. </w:t>
      </w:r>
      <w:r>
        <w:t xml:space="preserve">(2015). </w:t>
      </w:r>
      <w:r w:rsidRPr="00EE269D">
        <w:t>Gene expression signatures based on variability can robustly predict tumor progression and prognosis</w:t>
      </w:r>
      <w:r>
        <w:t xml:space="preserve">. Cancer Informatics, </w:t>
      </w:r>
      <w:r>
        <w:rPr>
          <w:i/>
        </w:rPr>
        <w:t>in press.</w:t>
      </w:r>
    </w:p>
    <w:p w14:paraId="258CE92C" w14:textId="559D9FAD" w:rsidR="0061086F" w:rsidRDefault="0061086F" w:rsidP="00C86D5A">
      <w:pPr>
        <w:numPr>
          <w:ilvl w:val="0"/>
          <w:numId w:val="24"/>
        </w:numPr>
      </w:pPr>
      <w:r>
        <w:rPr>
          <w:b/>
        </w:rPr>
        <w:t xml:space="preserve">Bravo, H.C., </w:t>
      </w:r>
      <w:r>
        <w:t xml:space="preserve">Irizarry, R.A., Leek, J.T. (2012). </w:t>
      </w:r>
      <w:proofErr w:type="spellStart"/>
      <w:proofErr w:type="gramStart"/>
      <w:r w:rsidRPr="00B26C6B">
        <w:t>antiProfiles</w:t>
      </w:r>
      <w:proofErr w:type="spellEnd"/>
      <w:proofErr w:type="gramEnd"/>
      <w:r w:rsidRPr="00B26C6B">
        <w:t>: Implementation of gene expression anti-profiles</w:t>
      </w:r>
      <w:r>
        <w:rPr>
          <w:i/>
        </w:rPr>
        <w:t xml:space="preserve">. </w:t>
      </w:r>
      <w:r>
        <w:t xml:space="preserve">Software, </w:t>
      </w:r>
      <w:hyperlink r:id="rId9" w:history="1">
        <w:r w:rsidR="00CB2DDB" w:rsidRPr="000E654D">
          <w:rPr>
            <w:rStyle w:val="Hyperlink"/>
          </w:rPr>
          <w:t>http://bioconductor.org/packages/release/bioc/html/antiProfiles.html</w:t>
        </w:r>
      </w:hyperlink>
      <w:r w:rsidR="00CB2DDB">
        <w:t xml:space="preserve">. </w:t>
      </w:r>
      <w:proofErr w:type="gramStart"/>
      <w:r w:rsidR="00CB2DDB">
        <w:t>doi:10.5281</w:t>
      </w:r>
      <w:proofErr w:type="gramEnd"/>
      <w:r w:rsidR="00CB2DDB">
        <w:t>/zenodo.17260</w:t>
      </w:r>
    </w:p>
    <w:p w14:paraId="3B532C71" w14:textId="77777777" w:rsidR="00F82BE3" w:rsidRPr="00F82BE3" w:rsidRDefault="00F82BE3" w:rsidP="00F82BE3"/>
    <w:p w14:paraId="4F3C6B2A" w14:textId="3E01C4E1" w:rsidR="00F82BE3" w:rsidRPr="0061086F" w:rsidRDefault="0061086F" w:rsidP="00F82BE3">
      <w:r>
        <w:t xml:space="preserve">2. </w:t>
      </w:r>
      <w:r>
        <w:rPr>
          <w:i/>
        </w:rPr>
        <w:t xml:space="preserve">Statistical and Computational Methods for High-Throughput Genomics. </w:t>
      </w:r>
      <w:r>
        <w:t xml:space="preserve">Proper processing and modeling of high-dimensional data like sequencing or array-based assays of gene expression or DNA methylation is essential to proper understanding of the mechanisms measured. My group has developed novel, robust methods for the preprocessing and modeling of DNA methylation using the </w:t>
      </w:r>
      <w:proofErr w:type="spellStart"/>
      <w:r>
        <w:t>Illumina</w:t>
      </w:r>
      <w:proofErr w:type="spellEnd"/>
      <w:r>
        <w:t xml:space="preserve"> HumanMethylation450k array, commonly used as part of </w:t>
      </w:r>
      <w:proofErr w:type="spellStart"/>
      <w:r>
        <w:t>Epigenome</w:t>
      </w:r>
      <w:proofErr w:type="spellEnd"/>
      <w:r>
        <w:t xml:space="preserve">-wide association studies. My group has also developed new methodology for the modeling of gene expression variability allowing understanding of how this phenotype relates to genomic signals in normal tissue. </w:t>
      </w:r>
      <w:r w:rsidR="009F3037">
        <w:t>All of these methods are implemented in software packages that are open source, distributed and used widely. My group has</w:t>
      </w:r>
      <w:r>
        <w:t xml:space="preserve"> also developed interactive visualization tools that make the use of these statistical methods more effective in exploratory and collaborative analysis, while making dissemination obtained via these methods richer and reproducible. </w:t>
      </w:r>
    </w:p>
    <w:p w14:paraId="4B27F3AF" w14:textId="77777777" w:rsidR="002C7DB7" w:rsidRDefault="002C7DB7" w:rsidP="00CB13B1">
      <w:pPr>
        <w:widowControl w:val="0"/>
        <w:numPr>
          <w:ilvl w:val="0"/>
          <w:numId w:val="25"/>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eastAsia="Calibri" w:cs="Arial"/>
          <w:szCs w:val="22"/>
        </w:rPr>
      </w:pPr>
      <w:proofErr w:type="spellStart"/>
      <w:r>
        <w:rPr>
          <w:rFonts w:eastAsia="Calibri" w:cs="Arial"/>
          <w:szCs w:val="22"/>
        </w:rPr>
        <w:t>Chelaru</w:t>
      </w:r>
      <w:proofErr w:type="spellEnd"/>
      <w:r>
        <w:rPr>
          <w:rFonts w:eastAsia="Calibri" w:cs="Arial"/>
          <w:szCs w:val="22"/>
        </w:rPr>
        <w:t xml:space="preserve">, F., Smith, L., Goldstein, N., </w:t>
      </w:r>
      <w:r>
        <w:rPr>
          <w:rFonts w:eastAsia="Calibri" w:cs="Arial"/>
          <w:b/>
          <w:szCs w:val="22"/>
        </w:rPr>
        <w:t>Bravo, H.C.</w:t>
      </w:r>
      <w:r>
        <w:rPr>
          <w:rFonts w:eastAsia="Calibri" w:cs="Arial"/>
          <w:szCs w:val="22"/>
        </w:rPr>
        <w:t xml:space="preserve">, (2014). </w:t>
      </w:r>
      <w:proofErr w:type="spellStart"/>
      <w:r>
        <w:rPr>
          <w:rFonts w:eastAsia="Calibri" w:cs="Arial"/>
          <w:szCs w:val="22"/>
        </w:rPr>
        <w:t>Epiviz</w:t>
      </w:r>
      <w:proofErr w:type="spellEnd"/>
      <w:r>
        <w:rPr>
          <w:rFonts w:eastAsia="Calibri" w:cs="Arial"/>
          <w:szCs w:val="22"/>
        </w:rPr>
        <w:t>: interactive visual analytics for functional genomics data. Nature Methods, 11 (9)</w:t>
      </w:r>
      <w:r>
        <w:rPr>
          <w:rFonts w:eastAsia="Calibri" w:cs="Arial"/>
          <w:i/>
          <w:szCs w:val="22"/>
        </w:rPr>
        <w:t xml:space="preserve">. </w:t>
      </w:r>
      <w:r>
        <w:rPr>
          <w:rFonts w:eastAsia="Calibri" w:cs="Arial"/>
          <w:szCs w:val="22"/>
        </w:rPr>
        <w:t>PMC Journal, in process.</w:t>
      </w:r>
    </w:p>
    <w:p w14:paraId="57FC521F" w14:textId="77777777" w:rsidR="002C7DB7" w:rsidRPr="0061086F" w:rsidRDefault="002C7DB7" w:rsidP="00CB13B1">
      <w:pPr>
        <w:widowControl w:val="0"/>
        <w:numPr>
          <w:ilvl w:val="0"/>
          <w:numId w:val="25"/>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eastAsia="Calibri" w:cs="Arial"/>
          <w:i/>
          <w:iCs/>
          <w:szCs w:val="22"/>
        </w:rPr>
      </w:pPr>
      <w:r>
        <w:rPr>
          <w:rFonts w:eastAsia="Calibri" w:cs="Arial"/>
          <w:szCs w:val="22"/>
        </w:rPr>
        <w:t xml:space="preserve">M. </w:t>
      </w:r>
      <w:proofErr w:type="spellStart"/>
      <w:r>
        <w:rPr>
          <w:rFonts w:eastAsia="Calibri" w:cs="Arial"/>
          <w:szCs w:val="22"/>
        </w:rPr>
        <w:t>Aryee</w:t>
      </w:r>
      <w:proofErr w:type="spellEnd"/>
      <w:r>
        <w:rPr>
          <w:rFonts w:eastAsia="Calibri" w:cs="Arial"/>
          <w:szCs w:val="22"/>
        </w:rPr>
        <w:t xml:space="preserve">, A. Jaffe, </w:t>
      </w:r>
      <w:r>
        <w:rPr>
          <w:rFonts w:eastAsia="Calibri" w:cs="Arial"/>
          <w:b/>
          <w:szCs w:val="22"/>
        </w:rPr>
        <w:t xml:space="preserve">H.C. Bravo, </w:t>
      </w:r>
      <w:r>
        <w:rPr>
          <w:rFonts w:eastAsia="Calibri" w:cs="Arial"/>
          <w:szCs w:val="22"/>
        </w:rPr>
        <w:t xml:space="preserve">C. Ladd-Acosta, A. Feinberg, K. Hansen, R.A. Irizarry (2014). </w:t>
      </w:r>
      <w:proofErr w:type="spellStart"/>
      <w:r>
        <w:rPr>
          <w:rFonts w:eastAsia="Calibri" w:cs="Arial"/>
          <w:szCs w:val="22"/>
        </w:rPr>
        <w:t>Minfi</w:t>
      </w:r>
      <w:proofErr w:type="spellEnd"/>
      <w:r>
        <w:rPr>
          <w:rFonts w:eastAsia="Calibri" w:cs="Arial"/>
          <w:szCs w:val="22"/>
        </w:rPr>
        <w:t xml:space="preserve">: a flexible and comprehensive </w:t>
      </w:r>
      <w:proofErr w:type="spellStart"/>
      <w:r>
        <w:rPr>
          <w:rFonts w:eastAsia="Calibri" w:cs="Arial"/>
          <w:szCs w:val="22"/>
        </w:rPr>
        <w:t>Bioconductor</w:t>
      </w:r>
      <w:proofErr w:type="spellEnd"/>
      <w:r>
        <w:rPr>
          <w:rFonts w:eastAsia="Calibri" w:cs="Arial"/>
          <w:szCs w:val="22"/>
        </w:rPr>
        <w:t xml:space="preserve"> package for the analysis of </w:t>
      </w:r>
      <w:proofErr w:type="spellStart"/>
      <w:r>
        <w:rPr>
          <w:rFonts w:eastAsia="Calibri" w:cs="Arial"/>
          <w:szCs w:val="22"/>
        </w:rPr>
        <w:t>Infimium</w:t>
      </w:r>
      <w:proofErr w:type="spellEnd"/>
      <w:r>
        <w:rPr>
          <w:rFonts w:eastAsia="Calibri" w:cs="Arial"/>
          <w:szCs w:val="22"/>
        </w:rPr>
        <w:t xml:space="preserve"> DNA methylation microarrays. </w:t>
      </w:r>
      <w:r>
        <w:rPr>
          <w:rFonts w:eastAsia="Calibri" w:cs="Arial"/>
          <w:i/>
          <w:szCs w:val="22"/>
        </w:rPr>
        <w:t xml:space="preserve">Bioinformatics, </w:t>
      </w:r>
      <w:r>
        <w:rPr>
          <w:rFonts w:eastAsia="Calibri" w:cs="Arial"/>
          <w:szCs w:val="22"/>
        </w:rPr>
        <w:t>30 (10), 1363-9. PMC4016708.</w:t>
      </w:r>
    </w:p>
    <w:p w14:paraId="3AE34B29" w14:textId="3CC724B5" w:rsidR="0061086F" w:rsidRPr="0061086F" w:rsidRDefault="0061086F" w:rsidP="00CB13B1">
      <w:pPr>
        <w:widowControl w:val="0"/>
        <w:numPr>
          <w:ilvl w:val="0"/>
          <w:numId w:val="25"/>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eastAsia="Calibri" w:cs="Arial"/>
          <w:i/>
          <w:iCs/>
          <w:szCs w:val="22"/>
        </w:rPr>
      </w:pPr>
      <w:r w:rsidRPr="006E5F24">
        <w:rPr>
          <w:rFonts w:eastAsia="Calibri" w:cs="Arial"/>
          <w:szCs w:val="22"/>
        </w:rPr>
        <w:t xml:space="preserve">Leek, </w:t>
      </w:r>
      <w:r>
        <w:rPr>
          <w:rFonts w:eastAsia="Calibri" w:cs="Arial"/>
          <w:szCs w:val="22"/>
        </w:rPr>
        <w:t xml:space="preserve">J.T., </w:t>
      </w:r>
      <w:proofErr w:type="spellStart"/>
      <w:r w:rsidRPr="006E5F24">
        <w:rPr>
          <w:rFonts w:eastAsia="Calibri" w:cs="Arial"/>
          <w:szCs w:val="22"/>
        </w:rPr>
        <w:t>Scharpf</w:t>
      </w:r>
      <w:proofErr w:type="spellEnd"/>
      <w:r w:rsidRPr="006E5F24">
        <w:rPr>
          <w:rFonts w:eastAsia="Calibri" w:cs="Arial"/>
          <w:szCs w:val="22"/>
        </w:rPr>
        <w:t>, R.</w:t>
      </w:r>
      <w:r>
        <w:rPr>
          <w:rFonts w:eastAsia="Calibri" w:cs="Arial"/>
          <w:szCs w:val="22"/>
        </w:rPr>
        <w:t>,</w:t>
      </w:r>
      <w:r w:rsidRPr="006E5F24">
        <w:rPr>
          <w:rFonts w:eastAsia="Calibri" w:cs="Arial"/>
          <w:szCs w:val="22"/>
        </w:rPr>
        <w:t xml:space="preserve"> </w:t>
      </w:r>
      <w:r w:rsidRPr="00FD3C95">
        <w:rPr>
          <w:rFonts w:eastAsia="Calibri" w:cs="Arial"/>
          <w:b/>
          <w:bCs/>
          <w:szCs w:val="22"/>
        </w:rPr>
        <w:t>Bravo</w:t>
      </w:r>
      <w:r w:rsidRPr="00FD3C95">
        <w:rPr>
          <w:rFonts w:eastAsia="Calibri" w:cs="Arial"/>
          <w:b/>
          <w:szCs w:val="22"/>
        </w:rPr>
        <w:t xml:space="preserve">, </w:t>
      </w:r>
      <w:r w:rsidRPr="00FD3C95">
        <w:rPr>
          <w:rFonts w:eastAsia="Calibri" w:cs="Arial"/>
          <w:b/>
          <w:bCs/>
          <w:szCs w:val="22"/>
        </w:rPr>
        <w:t>H.C.</w:t>
      </w:r>
      <w:r w:rsidRPr="006F79BE">
        <w:rPr>
          <w:rFonts w:eastAsia="Calibri" w:cs="Arial"/>
          <w:bCs/>
          <w:szCs w:val="22"/>
        </w:rPr>
        <w:t>,</w:t>
      </w:r>
      <w:r>
        <w:rPr>
          <w:rFonts w:eastAsia="Calibri" w:cs="Arial"/>
          <w:b/>
          <w:bCs/>
          <w:szCs w:val="22"/>
        </w:rPr>
        <w:t xml:space="preserve"> </w:t>
      </w:r>
      <w:proofErr w:type="spellStart"/>
      <w:r w:rsidRPr="006E5F24">
        <w:rPr>
          <w:rFonts w:eastAsia="Calibri" w:cs="Arial"/>
          <w:szCs w:val="22"/>
        </w:rPr>
        <w:t>Simcha</w:t>
      </w:r>
      <w:proofErr w:type="spellEnd"/>
      <w:r w:rsidRPr="006E5F24">
        <w:rPr>
          <w:rFonts w:eastAsia="Calibri" w:cs="Arial"/>
          <w:szCs w:val="22"/>
        </w:rPr>
        <w:t xml:space="preserve">, </w:t>
      </w:r>
      <w:r>
        <w:rPr>
          <w:rFonts w:eastAsia="Calibri" w:cs="Arial"/>
          <w:szCs w:val="22"/>
        </w:rPr>
        <w:t xml:space="preserve">D., </w:t>
      </w:r>
      <w:proofErr w:type="spellStart"/>
      <w:r w:rsidRPr="006E5F24">
        <w:rPr>
          <w:rFonts w:eastAsia="Calibri" w:cs="Arial"/>
          <w:szCs w:val="22"/>
        </w:rPr>
        <w:t>Langmead</w:t>
      </w:r>
      <w:proofErr w:type="spellEnd"/>
      <w:r w:rsidRPr="006E5F24">
        <w:rPr>
          <w:rFonts w:eastAsia="Calibri" w:cs="Arial"/>
          <w:szCs w:val="22"/>
        </w:rPr>
        <w:t xml:space="preserve">, </w:t>
      </w:r>
      <w:r>
        <w:rPr>
          <w:rFonts w:eastAsia="Calibri" w:cs="Arial"/>
          <w:szCs w:val="22"/>
        </w:rPr>
        <w:t xml:space="preserve">B., </w:t>
      </w:r>
      <w:r w:rsidRPr="006E5F24">
        <w:rPr>
          <w:rFonts w:eastAsia="Calibri" w:cs="Arial"/>
          <w:szCs w:val="22"/>
        </w:rPr>
        <w:t>Johnson</w:t>
      </w:r>
      <w:r>
        <w:rPr>
          <w:rFonts w:eastAsia="Calibri" w:cs="Arial"/>
          <w:szCs w:val="22"/>
        </w:rPr>
        <w:t>, E.</w:t>
      </w:r>
      <w:r w:rsidRPr="006E5F24">
        <w:rPr>
          <w:rFonts w:eastAsia="Calibri" w:cs="Arial"/>
          <w:szCs w:val="22"/>
        </w:rPr>
        <w:t xml:space="preserve">, </w:t>
      </w:r>
      <w:proofErr w:type="spellStart"/>
      <w:r w:rsidRPr="006E5F24">
        <w:rPr>
          <w:rFonts w:eastAsia="Calibri" w:cs="Arial"/>
          <w:szCs w:val="22"/>
        </w:rPr>
        <w:t>Geman</w:t>
      </w:r>
      <w:proofErr w:type="spellEnd"/>
      <w:r w:rsidRPr="006E5F24">
        <w:rPr>
          <w:rFonts w:eastAsia="Calibri" w:cs="Arial"/>
          <w:szCs w:val="22"/>
        </w:rPr>
        <w:t xml:space="preserve">, </w:t>
      </w:r>
      <w:r>
        <w:rPr>
          <w:rFonts w:eastAsia="Calibri" w:cs="Arial"/>
          <w:szCs w:val="22"/>
        </w:rPr>
        <w:t xml:space="preserve">D., </w:t>
      </w:r>
      <w:proofErr w:type="spellStart"/>
      <w:r w:rsidRPr="006E5F24">
        <w:rPr>
          <w:rFonts w:eastAsia="Calibri" w:cs="Arial"/>
          <w:szCs w:val="22"/>
        </w:rPr>
        <w:t>Baggerly</w:t>
      </w:r>
      <w:proofErr w:type="spellEnd"/>
      <w:r w:rsidRPr="006E5F24">
        <w:rPr>
          <w:rFonts w:eastAsia="Calibri" w:cs="Arial"/>
          <w:szCs w:val="22"/>
        </w:rPr>
        <w:t xml:space="preserve">, </w:t>
      </w:r>
      <w:r>
        <w:rPr>
          <w:rFonts w:eastAsia="Calibri" w:cs="Arial"/>
          <w:szCs w:val="22"/>
        </w:rPr>
        <w:t xml:space="preserve">K., &amp; </w:t>
      </w:r>
      <w:r w:rsidRPr="006E5F24">
        <w:rPr>
          <w:rFonts w:eastAsia="Calibri" w:cs="Arial"/>
          <w:szCs w:val="22"/>
        </w:rPr>
        <w:t>Irizarry</w:t>
      </w:r>
      <w:r>
        <w:rPr>
          <w:rFonts w:eastAsia="Calibri" w:cs="Arial"/>
          <w:szCs w:val="22"/>
        </w:rPr>
        <w:t>, R.A.</w:t>
      </w:r>
      <w:r w:rsidRPr="006E5F24">
        <w:rPr>
          <w:rFonts w:eastAsia="Calibri" w:cs="Arial"/>
          <w:szCs w:val="22"/>
        </w:rPr>
        <w:t xml:space="preserve"> (2010). Tackling the widespread and critical impact of batch effects in high-throughput data. </w:t>
      </w:r>
      <w:r w:rsidRPr="006E5F24">
        <w:rPr>
          <w:rFonts w:eastAsia="Calibri" w:cs="Arial"/>
          <w:i/>
          <w:iCs/>
          <w:szCs w:val="22"/>
        </w:rPr>
        <w:t xml:space="preserve"> </w:t>
      </w:r>
      <w:r w:rsidRPr="00FB2664">
        <w:rPr>
          <w:rFonts w:eastAsia="Calibri" w:cs="Arial"/>
          <w:iCs/>
          <w:szCs w:val="22"/>
        </w:rPr>
        <w:t>Nature Reviews Genetics</w:t>
      </w:r>
      <w:r w:rsidRPr="006E5F24">
        <w:rPr>
          <w:rFonts w:eastAsia="Calibri" w:cs="Arial"/>
          <w:i/>
          <w:iCs/>
          <w:szCs w:val="22"/>
        </w:rPr>
        <w:t xml:space="preserve">, 11 (10), </w:t>
      </w:r>
      <w:r w:rsidRPr="006E5F24">
        <w:rPr>
          <w:rFonts w:eastAsia="Calibri" w:cs="Arial"/>
          <w:szCs w:val="22"/>
        </w:rPr>
        <w:t>733-739.</w:t>
      </w:r>
      <w:r>
        <w:rPr>
          <w:rFonts w:eastAsia="Calibri" w:cs="Arial"/>
          <w:szCs w:val="22"/>
        </w:rPr>
        <w:t xml:space="preserve"> PMID: 20838408.</w:t>
      </w:r>
    </w:p>
    <w:p w14:paraId="787B5BF0" w14:textId="77777777" w:rsidR="0061086F" w:rsidRDefault="0061086F" w:rsidP="00CB13B1">
      <w:pPr>
        <w:widowControl w:val="0"/>
        <w:numPr>
          <w:ilvl w:val="0"/>
          <w:numId w:val="25"/>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eastAsia="Calibri" w:cs="Arial"/>
          <w:szCs w:val="22"/>
        </w:rPr>
      </w:pPr>
      <w:proofErr w:type="spellStart"/>
      <w:r>
        <w:rPr>
          <w:rFonts w:eastAsia="Calibri" w:cs="Arial"/>
          <w:szCs w:val="22"/>
        </w:rPr>
        <w:t>Alemu</w:t>
      </w:r>
      <w:proofErr w:type="spellEnd"/>
      <w:r>
        <w:rPr>
          <w:rFonts w:eastAsia="Calibri" w:cs="Arial"/>
          <w:szCs w:val="22"/>
        </w:rPr>
        <w:t xml:space="preserve">, E., Carl, J.W., </w:t>
      </w:r>
      <w:r>
        <w:rPr>
          <w:rFonts w:eastAsia="Calibri" w:cs="Arial"/>
          <w:b/>
          <w:szCs w:val="22"/>
        </w:rPr>
        <w:t>Bravo</w:t>
      </w:r>
      <w:r>
        <w:rPr>
          <w:rFonts w:eastAsia="Calibri" w:cs="Arial"/>
          <w:szCs w:val="22"/>
        </w:rPr>
        <w:t xml:space="preserve">, </w:t>
      </w:r>
      <w:r>
        <w:rPr>
          <w:rFonts w:eastAsia="Calibri" w:cs="Arial"/>
          <w:b/>
          <w:szCs w:val="22"/>
        </w:rPr>
        <w:t xml:space="preserve">H.C., </w:t>
      </w:r>
      <w:proofErr w:type="spellStart"/>
      <w:r>
        <w:rPr>
          <w:rFonts w:eastAsia="Calibri" w:cs="Arial"/>
          <w:szCs w:val="22"/>
        </w:rPr>
        <w:t>Hannenhalli</w:t>
      </w:r>
      <w:proofErr w:type="spellEnd"/>
      <w:r>
        <w:rPr>
          <w:rFonts w:eastAsia="Calibri" w:cs="Arial"/>
          <w:szCs w:val="22"/>
        </w:rPr>
        <w:t xml:space="preserve">, S.  (2014). Determinants of expression variability. </w:t>
      </w:r>
      <w:r>
        <w:rPr>
          <w:rFonts w:eastAsia="Calibri" w:cs="Arial"/>
          <w:i/>
          <w:szCs w:val="22"/>
        </w:rPr>
        <w:t xml:space="preserve">Nucleic Acids Research, </w:t>
      </w:r>
      <w:r>
        <w:rPr>
          <w:rFonts w:eastAsia="Calibri" w:cs="Arial"/>
          <w:szCs w:val="22"/>
        </w:rPr>
        <w:t>42 (6), 3503-3514. PMC3973347.</w:t>
      </w:r>
    </w:p>
    <w:p w14:paraId="05556D15" w14:textId="1370789D" w:rsidR="00CB13B1" w:rsidRPr="00F868EE" w:rsidRDefault="00CB13B1" w:rsidP="00CB13B1">
      <w:pPr>
        <w:widowControl w:val="0"/>
        <w:numPr>
          <w:ilvl w:val="0"/>
          <w:numId w:val="25"/>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eastAsia="Calibri" w:cs="Arial"/>
          <w:szCs w:val="22"/>
        </w:rPr>
      </w:pPr>
      <w:proofErr w:type="spellStart"/>
      <w:r>
        <w:rPr>
          <w:rFonts w:eastAsia="Calibri" w:cs="Arial"/>
          <w:szCs w:val="22"/>
        </w:rPr>
        <w:t>Chelaru</w:t>
      </w:r>
      <w:proofErr w:type="spellEnd"/>
      <w:r>
        <w:rPr>
          <w:rFonts w:eastAsia="Calibri" w:cs="Arial"/>
          <w:szCs w:val="22"/>
        </w:rPr>
        <w:t xml:space="preserve">, F. Smith, L., Goldstein, N., </w:t>
      </w:r>
      <w:r>
        <w:rPr>
          <w:rFonts w:eastAsia="Calibri" w:cs="Arial"/>
          <w:b/>
          <w:szCs w:val="22"/>
        </w:rPr>
        <w:t>Bravo, H.C.</w:t>
      </w:r>
      <w:r>
        <w:rPr>
          <w:rFonts w:eastAsia="Calibri" w:cs="Arial"/>
          <w:szCs w:val="22"/>
        </w:rPr>
        <w:t xml:space="preserve"> (2014). </w:t>
      </w:r>
      <w:proofErr w:type="spellStart"/>
      <w:r>
        <w:rPr>
          <w:rFonts w:eastAsia="Calibri" w:cs="Arial"/>
          <w:szCs w:val="22"/>
        </w:rPr>
        <w:t>Epiviz</w:t>
      </w:r>
      <w:proofErr w:type="spellEnd"/>
      <w:r>
        <w:rPr>
          <w:rFonts w:eastAsia="Calibri" w:cs="Arial"/>
          <w:szCs w:val="22"/>
        </w:rPr>
        <w:t xml:space="preserve">: interactive visual analytics for functional genomics data. Software, </w:t>
      </w:r>
      <w:hyperlink r:id="rId10" w:history="1">
        <w:r w:rsidRPr="000E654D">
          <w:rPr>
            <w:rStyle w:val="Hyperlink"/>
            <w:rFonts w:eastAsia="Calibri" w:cs="Arial"/>
            <w:szCs w:val="22"/>
          </w:rPr>
          <w:t>https://github.com/epiviz/epiviz/</w:t>
        </w:r>
      </w:hyperlink>
      <w:r>
        <w:rPr>
          <w:rFonts w:eastAsia="Calibri" w:cs="Arial"/>
          <w:szCs w:val="22"/>
        </w:rPr>
        <w:t xml:space="preserve">. </w:t>
      </w:r>
      <w:proofErr w:type="spellStart"/>
      <w:proofErr w:type="gramStart"/>
      <w:r>
        <w:rPr>
          <w:rFonts w:eastAsia="Calibri" w:cs="Arial"/>
          <w:szCs w:val="22"/>
        </w:rPr>
        <w:t>doi</w:t>
      </w:r>
      <w:proofErr w:type="spellEnd"/>
      <w:proofErr w:type="gramEnd"/>
      <w:r>
        <w:rPr>
          <w:rFonts w:eastAsia="Calibri" w:cs="Arial"/>
          <w:szCs w:val="22"/>
        </w:rPr>
        <w:t>: 10.5281/zenodo.17261.</w:t>
      </w:r>
    </w:p>
    <w:p w14:paraId="12AFAC8D" w14:textId="77777777" w:rsidR="0061086F" w:rsidRPr="00BB694E" w:rsidRDefault="0061086F" w:rsidP="0061086F">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360"/>
        <w:rPr>
          <w:rFonts w:eastAsia="Calibri" w:cs="Arial"/>
          <w:i/>
          <w:iCs/>
          <w:szCs w:val="22"/>
        </w:rPr>
      </w:pPr>
    </w:p>
    <w:p w14:paraId="7A06C819" w14:textId="439B1D9C" w:rsidR="00F82BE3" w:rsidRDefault="000E01C0" w:rsidP="009F3037">
      <w:r>
        <w:t xml:space="preserve">3. </w:t>
      </w:r>
      <w:r>
        <w:rPr>
          <w:i/>
        </w:rPr>
        <w:t xml:space="preserve">Statistical and Computational Methods for High-Throughput </w:t>
      </w:r>
      <w:proofErr w:type="spellStart"/>
      <w:r>
        <w:rPr>
          <w:i/>
        </w:rPr>
        <w:t>Metagenomics</w:t>
      </w:r>
      <w:proofErr w:type="spellEnd"/>
      <w:r>
        <w:rPr>
          <w:i/>
        </w:rPr>
        <w:t xml:space="preserve">. </w:t>
      </w:r>
      <w:r>
        <w:t>Large epidemiological studies using sequencing methods to probe microbial communities are becoming commonplace powerful methods of und</w:t>
      </w:r>
      <w:r w:rsidR="009F3037">
        <w:t xml:space="preserve">erstanding the role of microbe-host interactions in health and disease. My group has developed statistical </w:t>
      </w:r>
      <w:r w:rsidR="009F3037">
        <w:lastRenderedPageBreak/>
        <w:t>methods designed specifically to pre-process and model these data to effectively and robustly detect taxonomic units associated with phenotypes of interest. These methods were designed to analyze data from one the earliest large</w:t>
      </w:r>
      <w:r w:rsidR="00F82BE3">
        <w:t xml:space="preserve"> epidemiological studies using </w:t>
      </w:r>
      <w:proofErr w:type="spellStart"/>
      <w:r w:rsidR="00F82BE3">
        <w:t>metagenomic</w:t>
      </w:r>
      <w:proofErr w:type="spellEnd"/>
      <w:r w:rsidR="00F82BE3">
        <w:t xml:space="preserve"> data.</w:t>
      </w:r>
      <w:r w:rsidR="009F3037">
        <w:t xml:space="preserve"> These methods are implemented and distributed as open source software, used frequently by other groups as part of standard </w:t>
      </w:r>
      <w:proofErr w:type="spellStart"/>
      <w:r w:rsidR="009F3037">
        <w:t>metagenomic</w:t>
      </w:r>
      <w:proofErr w:type="spellEnd"/>
      <w:r w:rsidR="009F3037">
        <w:t xml:space="preserve"> analysis pipelines.</w:t>
      </w:r>
      <w:r w:rsidR="00F82BE3">
        <w:t xml:space="preserve"> </w:t>
      </w:r>
    </w:p>
    <w:p w14:paraId="23445093" w14:textId="77777777" w:rsidR="000830B1" w:rsidRPr="005C5F4A" w:rsidRDefault="000830B1" w:rsidP="005C5F4A">
      <w:pPr>
        <w:pStyle w:val="ListParagraph"/>
        <w:widowControl w:val="0"/>
        <w:numPr>
          <w:ilvl w:val="0"/>
          <w:numId w:val="26"/>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eastAsia="Calibri" w:cs="Arial"/>
          <w:szCs w:val="22"/>
        </w:rPr>
      </w:pPr>
      <w:r w:rsidRPr="005C5F4A">
        <w:rPr>
          <w:rFonts w:eastAsia="Calibri" w:cs="Arial"/>
          <w:szCs w:val="22"/>
        </w:rPr>
        <w:t xml:space="preserve">Paulson, J., Stein, O.C., </w:t>
      </w:r>
      <w:r w:rsidRPr="005C5F4A">
        <w:rPr>
          <w:rFonts w:eastAsia="Calibri" w:cs="Arial"/>
          <w:b/>
          <w:szCs w:val="22"/>
        </w:rPr>
        <w:t xml:space="preserve">Bravo, H.C., </w:t>
      </w:r>
      <w:r w:rsidRPr="005C5F4A">
        <w:rPr>
          <w:rFonts w:eastAsia="Calibri" w:cs="Arial"/>
          <w:szCs w:val="22"/>
        </w:rPr>
        <w:t xml:space="preserve">Pop, M., (2014). Differential abundance analysis for microbial marker-gene </w:t>
      </w:r>
      <w:proofErr w:type="spellStart"/>
      <w:r w:rsidRPr="005C5F4A">
        <w:rPr>
          <w:rFonts w:eastAsia="Calibri" w:cs="Arial"/>
          <w:szCs w:val="22"/>
        </w:rPr>
        <w:t>surverys</w:t>
      </w:r>
      <w:proofErr w:type="spellEnd"/>
      <w:r w:rsidRPr="005C5F4A">
        <w:rPr>
          <w:rFonts w:eastAsia="Calibri" w:cs="Arial"/>
          <w:szCs w:val="22"/>
        </w:rPr>
        <w:t>. Nature Methods, 10 (12): 1200-1202. PMC4010126.</w:t>
      </w:r>
    </w:p>
    <w:p w14:paraId="72427B8F" w14:textId="0B6365E6" w:rsidR="00C33C55" w:rsidRDefault="00C33C55" w:rsidP="005C5F4A">
      <w:pPr>
        <w:pStyle w:val="ListParagraph"/>
        <w:numPr>
          <w:ilvl w:val="0"/>
          <w:numId w:val="26"/>
        </w:numPr>
      </w:pPr>
      <w:r>
        <w:t xml:space="preserve">Pop, M., Walker, A.W., Paulson, J., Lindsey, B., Antonio, M., </w:t>
      </w:r>
      <w:proofErr w:type="spellStart"/>
      <w:r>
        <w:t>Hossain</w:t>
      </w:r>
      <w:proofErr w:type="spellEnd"/>
      <w:r>
        <w:t xml:space="preserve">, M.A., </w:t>
      </w:r>
      <w:proofErr w:type="spellStart"/>
      <w:r>
        <w:t>Oundo</w:t>
      </w:r>
      <w:proofErr w:type="spellEnd"/>
      <w:r>
        <w:t xml:space="preserve">, J., </w:t>
      </w:r>
      <w:proofErr w:type="spellStart"/>
      <w:r>
        <w:t>Tamboura</w:t>
      </w:r>
      <w:proofErr w:type="spellEnd"/>
      <w:r>
        <w:t xml:space="preserve">, B., Mai, V., </w:t>
      </w:r>
      <w:proofErr w:type="spellStart"/>
      <w:r>
        <w:t>Astrovskaya</w:t>
      </w:r>
      <w:proofErr w:type="spellEnd"/>
      <w:r>
        <w:t xml:space="preserve">, I., </w:t>
      </w:r>
      <w:r w:rsidRPr="005C5F4A">
        <w:rPr>
          <w:b/>
        </w:rPr>
        <w:t xml:space="preserve">Bravo, H.C., </w:t>
      </w:r>
      <w:proofErr w:type="spellStart"/>
      <w:r>
        <w:t>Rance</w:t>
      </w:r>
      <w:proofErr w:type="spellEnd"/>
      <w:r>
        <w:t xml:space="preserve">, R., Stares, M., Levine, M.M., </w:t>
      </w:r>
      <w:proofErr w:type="spellStart"/>
      <w:r>
        <w:t>Panchalingam</w:t>
      </w:r>
      <w:proofErr w:type="spellEnd"/>
      <w:r>
        <w:t xml:space="preserve">, S., </w:t>
      </w:r>
      <w:proofErr w:type="spellStart"/>
      <w:r>
        <w:t>Kotloff</w:t>
      </w:r>
      <w:proofErr w:type="spellEnd"/>
      <w:r>
        <w:t xml:space="preserve">, K., </w:t>
      </w:r>
      <w:proofErr w:type="spellStart"/>
      <w:r>
        <w:t>Ikumapayi</w:t>
      </w:r>
      <w:proofErr w:type="spellEnd"/>
      <w:r>
        <w:t xml:space="preserve">, U.N., </w:t>
      </w:r>
      <w:proofErr w:type="spellStart"/>
      <w:r>
        <w:t>Ebruke</w:t>
      </w:r>
      <w:proofErr w:type="spellEnd"/>
      <w:r>
        <w:t xml:space="preserve">, C., </w:t>
      </w:r>
      <w:proofErr w:type="spellStart"/>
      <w:r>
        <w:t>Adeyemi</w:t>
      </w:r>
      <w:proofErr w:type="spellEnd"/>
      <w:r>
        <w:t xml:space="preserve">, D., Ahmed, F., </w:t>
      </w:r>
      <w:proofErr w:type="spellStart"/>
      <w:r>
        <w:t>Alam</w:t>
      </w:r>
      <w:proofErr w:type="spellEnd"/>
      <w:r>
        <w:t xml:space="preserve">, M.T., Amin, R., </w:t>
      </w:r>
      <w:proofErr w:type="spellStart"/>
      <w:r>
        <w:t>Siddiqui</w:t>
      </w:r>
      <w:proofErr w:type="spellEnd"/>
      <w:r>
        <w:t xml:space="preserve">, S., </w:t>
      </w:r>
      <w:proofErr w:type="spellStart"/>
      <w:r>
        <w:t>Ochieng</w:t>
      </w:r>
      <w:proofErr w:type="spellEnd"/>
      <w:r>
        <w:t xml:space="preserve">, J.B., </w:t>
      </w:r>
      <w:proofErr w:type="spellStart"/>
      <w:r>
        <w:t>Ouma</w:t>
      </w:r>
      <w:proofErr w:type="spellEnd"/>
      <w:r>
        <w:t xml:space="preserve">, E., </w:t>
      </w:r>
      <w:proofErr w:type="spellStart"/>
      <w:r>
        <w:t>Juma</w:t>
      </w:r>
      <w:proofErr w:type="spellEnd"/>
      <w:r>
        <w:t xml:space="preserve">, J., </w:t>
      </w:r>
      <w:proofErr w:type="spellStart"/>
      <w:r>
        <w:t>Mailu</w:t>
      </w:r>
      <w:proofErr w:type="spellEnd"/>
      <w:r>
        <w:t xml:space="preserve">, E., </w:t>
      </w:r>
      <w:proofErr w:type="spellStart"/>
      <w:r>
        <w:t>Omore</w:t>
      </w:r>
      <w:proofErr w:type="spellEnd"/>
      <w:r>
        <w:t xml:space="preserve">, R., Morris, J.G., </w:t>
      </w:r>
      <w:proofErr w:type="spellStart"/>
      <w:r>
        <w:t>Breiman</w:t>
      </w:r>
      <w:proofErr w:type="spellEnd"/>
      <w:r>
        <w:t xml:space="preserve">, R.F., </w:t>
      </w:r>
      <w:proofErr w:type="spellStart"/>
      <w:r>
        <w:t>Saha</w:t>
      </w:r>
      <w:proofErr w:type="spellEnd"/>
      <w:r>
        <w:t xml:space="preserve">, D., </w:t>
      </w:r>
      <w:proofErr w:type="spellStart"/>
      <w:r>
        <w:t>Parkhill</w:t>
      </w:r>
      <w:proofErr w:type="spellEnd"/>
      <w:r>
        <w:t xml:space="preserve">, J., Stine, O.C., </w:t>
      </w:r>
      <w:proofErr w:type="spellStart"/>
      <w:r>
        <w:t>Nataro</w:t>
      </w:r>
      <w:proofErr w:type="spellEnd"/>
      <w:r>
        <w:t xml:space="preserve">, J.P., (2014). Diarrhea in young children from low-income countries leads to large-scale alterations in intestinal </w:t>
      </w:r>
      <w:proofErr w:type="spellStart"/>
      <w:r>
        <w:t>microbiota</w:t>
      </w:r>
      <w:proofErr w:type="spellEnd"/>
      <w:r>
        <w:t xml:space="preserve"> composition. Genome Biology,</w:t>
      </w:r>
      <w:r w:rsidR="003208FA" w:rsidRPr="005C5F4A">
        <w:rPr>
          <w:i/>
        </w:rPr>
        <w:t xml:space="preserve"> </w:t>
      </w:r>
      <w:r w:rsidR="003208FA">
        <w:t>15(6), p. R76</w:t>
      </w:r>
      <w:r w:rsidRPr="005C5F4A">
        <w:rPr>
          <w:i/>
        </w:rPr>
        <w:t xml:space="preserve">. </w:t>
      </w:r>
      <w:r>
        <w:t>PMC Journal, in process.</w:t>
      </w:r>
    </w:p>
    <w:p w14:paraId="30CBD113" w14:textId="1EDAA62E" w:rsidR="009F3037" w:rsidRDefault="009F3037" w:rsidP="005C5F4A">
      <w:pPr>
        <w:pStyle w:val="ListParagraph"/>
        <w:numPr>
          <w:ilvl w:val="0"/>
          <w:numId w:val="26"/>
        </w:numPr>
      </w:pPr>
      <w:r>
        <w:t xml:space="preserve">Paulson, J., Pop, M., </w:t>
      </w:r>
      <w:r w:rsidRPr="005C5F4A">
        <w:rPr>
          <w:b/>
        </w:rPr>
        <w:t xml:space="preserve">Bravo, H.C. </w:t>
      </w:r>
      <w:r>
        <w:t xml:space="preserve">(2014). </w:t>
      </w:r>
      <w:proofErr w:type="spellStart"/>
      <w:proofErr w:type="gramStart"/>
      <w:r w:rsidRPr="009F3037">
        <w:t>metagenomeSeq</w:t>
      </w:r>
      <w:proofErr w:type="spellEnd"/>
      <w:proofErr w:type="gramEnd"/>
      <w:r w:rsidRPr="009F3037">
        <w:t>: statistical analysis for sparse high-throughput sequencing.</w:t>
      </w:r>
      <w:r>
        <w:t xml:space="preserve"> Software, </w:t>
      </w:r>
      <w:hyperlink r:id="rId11" w:history="1">
        <w:r w:rsidR="005C5F4A" w:rsidRPr="000E654D">
          <w:rPr>
            <w:rStyle w:val="Hyperlink"/>
          </w:rPr>
          <w:t>http://bioconductor.org/packages/release/bioc/html/metagenomeSeq.html</w:t>
        </w:r>
      </w:hyperlink>
      <w:r w:rsidR="00F86CEC">
        <w:t>.</w:t>
      </w:r>
    </w:p>
    <w:p w14:paraId="159964B9" w14:textId="77777777" w:rsidR="005C5F4A" w:rsidRDefault="005C5F4A" w:rsidP="005C5F4A"/>
    <w:p w14:paraId="38B9D271" w14:textId="5D24E015" w:rsidR="005C5F4A" w:rsidRPr="005C5F4A" w:rsidRDefault="005C5F4A" w:rsidP="005C5F4A">
      <w:r>
        <w:t xml:space="preserve">4. </w:t>
      </w:r>
      <w:r>
        <w:rPr>
          <w:i/>
        </w:rPr>
        <w:t xml:space="preserve">Statistical and Computational Methods for preprocessing and quality assessment of high-throughput sequencing data. </w:t>
      </w:r>
      <w:r>
        <w:t>Technological advances in in high-throughput sequencing have revolutionized biomedical research. The use of these technologies for multiple downstream analyses, including variant analysis is predicated on the robust processing of raw signal to create the DNA sequence reads used for downstream analysis. Our group has developed statistical methods and software to efficiently and robustly perform this crucial upstream analysis step. We have also studied the effect of biases in these technologies in downstream analyses critical to the clinical translation of findings made with these technologies.</w:t>
      </w:r>
    </w:p>
    <w:p w14:paraId="6AF79DDC" w14:textId="77777777" w:rsidR="009A3218" w:rsidRPr="009A3218" w:rsidRDefault="009A3218" w:rsidP="00C86424">
      <w:pPr>
        <w:numPr>
          <w:ilvl w:val="0"/>
          <w:numId w:val="27"/>
        </w:numPr>
      </w:pPr>
      <w:r w:rsidRPr="00770F6B">
        <w:rPr>
          <w:b/>
        </w:rPr>
        <w:t>Bravo, H.C.</w:t>
      </w:r>
      <w:r>
        <w:t xml:space="preserve"> &amp; Irizarry, R.A. (2009). Model-based quality assessment and base-calling for second-generation sequencing data. Biometrics 66(3), 665-74. PM</w:t>
      </w:r>
      <w:r w:rsidR="00667E3E">
        <w:t>C3439029</w:t>
      </w:r>
      <w:r>
        <w:rPr>
          <w:rFonts w:eastAsia="Calibri" w:cs="Arial"/>
        </w:rPr>
        <w:t>.</w:t>
      </w:r>
    </w:p>
    <w:p w14:paraId="2682D812" w14:textId="77777777" w:rsidR="00C86424" w:rsidRDefault="00C86424" w:rsidP="00C86424">
      <w:pPr>
        <w:widowControl w:val="0"/>
        <w:numPr>
          <w:ilvl w:val="0"/>
          <w:numId w:val="27"/>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eastAsia="Calibri" w:cs="Arial"/>
          <w:szCs w:val="22"/>
        </w:rPr>
      </w:pPr>
      <w:r w:rsidRPr="00C925E6">
        <w:rPr>
          <w:rFonts w:eastAsia="Calibri" w:cs="Arial"/>
          <w:szCs w:val="22"/>
        </w:rPr>
        <w:t xml:space="preserve">M. </w:t>
      </w:r>
      <w:proofErr w:type="spellStart"/>
      <w:r w:rsidRPr="00C925E6">
        <w:rPr>
          <w:rFonts w:eastAsia="Calibri" w:cs="Arial"/>
          <w:szCs w:val="22"/>
        </w:rPr>
        <w:t>Taub</w:t>
      </w:r>
      <w:proofErr w:type="spellEnd"/>
      <w:r w:rsidRPr="00C925E6">
        <w:rPr>
          <w:rFonts w:eastAsia="Calibri" w:cs="Arial"/>
          <w:szCs w:val="22"/>
        </w:rPr>
        <w:t xml:space="preserve">, </w:t>
      </w:r>
      <w:r w:rsidRPr="00C925E6">
        <w:rPr>
          <w:rFonts w:eastAsia="Calibri" w:cs="Arial"/>
          <w:b/>
          <w:bCs/>
          <w:szCs w:val="22"/>
        </w:rPr>
        <w:t>H. Corrada Bravo</w:t>
      </w:r>
      <w:r w:rsidRPr="00C925E6">
        <w:rPr>
          <w:rFonts w:eastAsia="Calibri" w:cs="Arial"/>
          <w:szCs w:val="22"/>
        </w:rPr>
        <w:t xml:space="preserve">, R.A. Irizarry (2010). Overcoming bias and systematic errors in next generation sequencing data. </w:t>
      </w:r>
      <w:r w:rsidRPr="00BA5B0C">
        <w:rPr>
          <w:rFonts w:eastAsia="Calibri" w:cs="Arial"/>
          <w:iCs/>
          <w:szCs w:val="22"/>
        </w:rPr>
        <w:t>Genome Medicine</w:t>
      </w:r>
      <w:r w:rsidRPr="00C925E6">
        <w:rPr>
          <w:rFonts w:eastAsia="Calibri" w:cs="Arial"/>
          <w:i/>
          <w:iCs/>
          <w:szCs w:val="22"/>
        </w:rPr>
        <w:t xml:space="preserve"> </w:t>
      </w:r>
      <w:r w:rsidRPr="00C925E6">
        <w:rPr>
          <w:rFonts w:eastAsia="Calibri" w:cs="Arial"/>
          <w:szCs w:val="22"/>
        </w:rPr>
        <w:t>2(12)</w:t>
      </w:r>
      <w:proofErr w:type="gramStart"/>
      <w:r w:rsidRPr="00C925E6">
        <w:rPr>
          <w:rFonts w:eastAsia="Calibri" w:cs="Arial"/>
          <w:szCs w:val="22"/>
        </w:rPr>
        <w:t>:87</w:t>
      </w:r>
      <w:proofErr w:type="gramEnd"/>
      <w:r w:rsidRPr="00C925E6">
        <w:rPr>
          <w:rFonts w:eastAsia="Calibri" w:cs="Arial"/>
          <w:szCs w:val="22"/>
        </w:rPr>
        <w:t>.</w:t>
      </w:r>
      <w:r>
        <w:rPr>
          <w:rFonts w:eastAsia="Calibri" w:cs="Arial"/>
          <w:szCs w:val="22"/>
        </w:rPr>
        <w:t xml:space="preserve"> PMC3025429.</w:t>
      </w:r>
    </w:p>
    <w:p w14:paraId="04A7DFAB" w14:textId="77777777" w:rsidR="00C86424" w:rsidRDefault="00C86424" w:rsidP="00C86424">
      <w:pPr>
        <w:numPr>
          <w:ilvl w:val="0"/>
          <w:numId w:val="27"/>
        </w:numPr>
      </w:pPr>
      <w:r>
        <w:t xml:space="preserve">Wu, H., Irizarry, R.A. &amp; </w:t>
      </w:r>
      <w:r>
        <w:rPr>
          <w:b/>
        </w:rPr>
        <w:t xml:space="preserve">Bravo, H.C. </w:t>
      </w:r>
      <w:r w:rsidRPr="00730BBD">
        <w:t>(2010).</w:t>
      </w:r>
      <w:r>
        <w:rPr>
          <w:b/>
        </w:rPr>
        <w:t xml:space="preserve"> </w:t>
      </w:r>
      <w:r>
        <w:t xml:space="preserve">Intensity normalization improves color calling in </w:t>
      </w:r>
      <w:proofErr w:type="spellStart"/>
      <w:r>
        <w:t>SOLiD</w:t>
      </w:r>
      <w:proofErr w:type="spellEnd"/>
      <w:r>
        <w:t xml:space="preserve"> sequencing. Nature Methods 7, 336-337. PMC3142576.</w:t>
      </w:r>
    </w:p>
    <w:p w14:paraId="373C4E48" w14:textId="77777777" w:rsidR="00C86424" w:rsidRDefault="00C86424" w:rsidP="00C86424">
      <w:pPr>
        <w:numPr>
          <w:ilvl w:val="0"/>
          <w:numId w:val="27"/>
        </w:numPr>
      </w:pPr>
      <w:proofErr w:type="spellStart"/>
      <w:r>
        <w:t>Niranjan</w:t>
      </w:r>
      <w:proofErr w:type="spellEnd"/>
      <w:r>
        <w:t xml:space="preserve">, T.S., </w:t>
      </w:r>
      <w:proofErr w:type="spellStart"/>
      <w:r>
        <w:t>Adamaczyk</w:t>
      </w:r>
      <w:proofErr w:type="spellEnd"/>
      <w:r>
        <w:t xml:space="preserve">, A., </w:t>
      </w:r>
      <w:r>
        <w:rPr>
          <w:b/>
        </w:rPr>
        <w:t>Bravo, H.C.</w:t>
      </w:r>
      <w:r>
        <w:t xml:space="preserve">, </w:t>
      </w:r>
      <w:proofErr w:type="spellStart"/>
      <w:r>
        <w:t>Taub</w:t>
      </w:r>
      <w:proofErr w:type="spellEnd"/>
      <w:r>
        <w:t xml:space="preserve">, M., </w:t>
      </w:r>
      <w:proofErr w:type="spellStart"/>
      <w:r>
        <w:t>Wheelan</w:t>
      </w:r>
      <w:proofErr w:type="spellEnd"/>
      <w:r>
        <w:t xml:space="preserve">, S.J., Irizarry, R.A., Wang, T (2011). Effective detection of rare variants in pooled DNA samples using </w:t>
      </w:r>
      <w:proofErr w:type="spellStart"/>
      <w:r>
        <w:t>Srfim</w:t>
      </w:r>
      <w:proofErr w:type="spellEnd"/>
      <w:r>
        <w:t xml:space="preserve"> and cross-pool tail-curve analysis. Genome Biology 12 (9), R93. PMC3439029.</w:t>
      </w:r>
    </w:p>
    <w:p w14:paraId="22917C0B" w14:textId="77777777" w:rsidR="00C86424" w:rsidRPr="00555B3F" w:rsidRDefault="00C86424" w:rsidP="00C86424">
      <w:pPr>
        <w:numPr>
          <w:ilvl w:val="0"/>
          <w:numId w:val="27"/>
        </w:numPr>
      </w:pPr>
      <w:r>
        <w:t xml:space="preserve">Ye, C., Hsiao, C., </w:t>
      </w:r>
      <w:r>
        <w:rPr>
          <w:b/>
        </w:rPr>
        <w:t xml:space="preserve">Bravo, H.C. </w:t>
      </w:r>
      <w:r>
        <w:t xml:space="preserve">(2014). </w:t>
      </w:r>
      <w:proofErr w:type="spellStart"/>
      <w:r>
        <w:t>BlindCall</w:t>
      </w:r>
      <w:proofErr w:type="spellEnd"/>
      <w:r>
        <w:t xml:space="preserve">: ultra-fast </w:t>
      </w:r>
      <w:proofErr w:type="gramStart"/>
      <w:r>
        <w:t>base-calling</w:t>
      </w:r>
      <w:proofErr w:type="gramEnd"/>
      <w:r>
        <w:t xml:space="preserve"> of second-generation sequencing by blind </w:t>
      </w:r>
      <w:proofErr w:type="spellStart"/>
      <w:r>
        <w:t>deconvolution</w:t>
      </w:r>
      <w:proofErr w:type="spellEnd"/>
      <w:r>
        <w:t>. Bioinformatics 30 (9), 1214-1219. PMC3998134.</w:t>
      </w:r>
    </w:p>
    <w:p w14:paraId="168F0DF3" w14:textId="77777777" w:rsidR="0073134E" w:rsidRDefault="0073134E" w:rsidP="0073134E"/>
    <w:p w14:paraId="3734397C" w14:textId="7F7348E0" w:rsidR="0073134E" w:rsidRPr="0073134E" w:rsidRDefault="0073134E" w:rsidP="0073134E">
      <w:r>
        <w:t xml:space="preserve">5. </w:t>
      </w:r>
      <w:r w:rsidRPr="0073134E">
        <w:rPr>
          <w:i/>
        </w:rPr>
        <w:t>Graph-based methods</w:t>
      </w:r>
      <w:r>
        <w:rPr>
          <w:i/>
        </w:rPr>
        <w:t xml:space="preserve"> for structured data analysis and integration.</w:t>
      </w:r>
      <w:r>
        <w:t xml:space="preserve"> My dissertation work was focused in developing statistical and computational methods for the analysis of structured data. First, we worked on data integration using kernel methods. These are flexible statistical methods that permit integration of both standard observation-specific data and relationships between observations. We used these methods to analyze the relative influence of familial, genetic and environmental covariate information in disease risk models. The</w:t>
      </w:r>
      <w:r w:rsidR="0045388C">
        <w:t xml:space="preserve"> second aspect was developing structured covariance models used to understand evolution of gene expression in closely related species.</w:t>
      </w:r>
      <w:r w:rsidR="00B56B15">
        <w:t xml:space="preserve"> We also used a related method to understand the genetic relationship between metastases and the primary tumor in pancreatic cancer.</w:t>
      </w:r>
    </w:p>
    <w:p w14:paraId="14D13726" w14:textId="2A4C36F8" w:rsidR="00C86424" w:rsidRPr="00C86424" w:rsidRDefault="0051055D" w:rsidP="0073134E">
      <w:pPr>
        <w:numPr>
          <w:ilvl w:val="0"/>
          <w:numId w:val="17"/>
        </w:numPr>
      </w:pPr>
      <w:r w:rsidRPr="00770F6B">
        <w:rPr>
          <w:b/>
        </w:rPr>
        <w:t>Bravo, H.C</w:t>
      </w:r>
      <w:r>
        <w:rPr>
          <w:b/>
        </w:rPr>
        <w:t>.</w:t>
      </w:r>
      <w:r w:rsidRPr="00770F6B">
        <w:rPr>
          <w:b/>
        </w:rPr>
        <w:t>,</w:t>
      </w:r>
      <w:r>
        <w:t xml:space="preserve"> Lee, K.E., Klein, B.E.K., Klein, R., </w:t>
      </w:r>
      <w:proofErr w:type="spellStart"/>
      <w:r>
        <w:t>Iyengar</w:t>
      </w:r>
      <w:proofErr w:type="spellEnd"/>
      <w:r>
        <w:t xml:space="preserve">, S.K. &amp; </w:t>
      </w:r>
      <w:proofErr w:type="spellStart"/>
      <w:r>
        <w:t>Wahba</w:t>
      </w:r>
      <w:proofErr w:type="spellEnd"/>
      <w:r>
        <w:t xml:space="preserve">, G. (2009). Examining the relative influence of familial, genetic and environmental covariate information in flexible risk models. Proceedings of the National Academy of Science, 106(20), 8128-8133. PMC2677979. </w:t>
      </w:r>
    </w:p>
    <w:p w14:paraId="38700073" w14:textId="77777777" w:rsidR="00693C0E" w:rsidRDefault="00693C0E" w:rsidP="00B868D3">
      <w:pPr>
        <w:numPr>
          <w:ilvl w:val="0"/>
          <w:numId w:val="17"/>
        </w:numPr>
      </w:pPr>
      <w:r w:rsidRPr="00770F6B">
        <w:rPr>
          <w:b/>
        </w:rPr>
        <w:t>Bravo, H.C.,</w:t>
      </w:r>
      <w:r>
        <w:t xml:space="preserve"> </w:t>
      </w:r>
      <w:proofErr w:type="spellStart"/>
      <w:r>
        <w:t>Eng</w:t>
      </w:r>
      <w:proofErr w:type="spellEnd"/>
      <w:r>
        <w:t xml:space="preserve">, K.H., </w:t>
      </w:r>
      <w:proofErr w:type="spellStart"/>
      <w:r>
        <w:t>Keles</w:t>
      </w:r>
      <w:proofErr w:type="spellEnd"/>
      <w:r>
        <w:t xml:space="preserve">, S. </w:t>
      </w:r>
      <w:proofErr w:type="spellStart"/>
      <w:r>
        <w:t>Wahba</w:t>
      </w:r>
      <w:proofErr w:type="spellEnd"/>
      <w:r>
        <w:t>, G., &amp; Wright, S. (2009). Estimating tree-structured covariance matrices via mixed-integer programming. Journal of Machine Learning Research Workshop and Conference Proceedings (AISTATS ’09), 5, 33-40.</w:t>
      </w:r>
      <w:r w:rsidR="00667E3E">
        <w:t xml:space="preserve"> PMC3212858.</w:t>
      </w:r>
    </w:p>
    <w:p w14:paraId="1D302CF2" w14:textId="6737409B" w:rsidR="00BB694E" w:rsidRPr="0051055D" w:rsidRDefault="00693C0E" w:rsidP="0051055D">
      <w:pPr>
        <w:numPr>
          <w:ilvl w:val="0"/>
          <w:numId w:val="17"/>
        </w:numPr>
      </w:pPr>
      <w:proofErr w:type="spellStart"/>
      <w:r>
        <w:t>Eng</w:t>
      </w:r>
      <w:proofErr w:type="spellEnd"/>
      <w:r>
        <w:t xml:space="preserve">, K.H., </w:t>
      </w:r>
      <w:r w:rsidRPr="00770F6B">
        <w:rPr>
          <w:b/>
        </w:rPr>
        <w:t>Bravo, H.C.,</w:t>
      </w:r>
      <w:r>
        <w:t xml:space="preserve"> &amp; </w:t>
      </w:r>
      <w:proofErr w:type="spellStart"/>
      <w:r>
        <w:t>Keles</w:t>
      </w:r>
      <w:proofErr w:type="spellEnd"/>
      <w:r>
        <w:t>, S. (2009). A phylogenetic mixture model for the evolution of gene expression. Molecular Biology and Evolution, 26(10), 2363-2372. PM</w:t>
      </w:r>
      <w:r w:rsidR="00667E3E">
        <w:t>C2738779</w:t>
      </w:r>
      <w:r>
        <w:t>.</w:t>
      </w:r>
    </w:p>
    <w:p w14:paraId="4750F2CE" w14:textId="4B9BB533" w:rsidR="00E10888" w:rsidRDefault="00BB694E" w:rsidP="00022C65">
      <w:pPr>
        <w:widowControl w:val="0"/>
        <w:numPr>
          <w:ilvl w:val="0"/>
          <w:numId w:val="17"/>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pPr>
      <w:r w:rsidRPr="00BB694E">
        <w:rPr>
          <w:rFonts w:eastAsia="Calibri" w:cs="Arial"/>
          <w:szCs w:val="22"/>
        </w:rPr>
        <w:t xml:space="preserve">M.L. Nickerson, K.M. </w:t>
      </w:r>
      <w:proofErr w:type="spellStart"/>
      <w:r w:rsidRPr="00BB694E">
        <w:rPr>
          <w:rFonts w:eastAsia="Calibri" w:cs="Arial"/>
          <w:szCs w:val="22"/>
        </w:rPr>
        <w:t>Im</w:t>
      </w:r>
      <w:proofErr w:type="spellEnd"/>
      <w:r w:rsidRPr="00BB694E">
        <w:rPr>
          <w:rFonts w:eastAsia="Calibri" w:cs="Arial"/>
          <w:szCs w:val="22"/>
        </w:rPr>
        <w:t xml:space="preserve">, K.J. </w:t>
      </w:r>
      <w:proofErr w:type="spellStart"/>
      <w:r w:rsidRPr="00BB694E">
        <w:rPr>
          <w:rFonts w:eastAsia="Calibri" w:cs="Arial"/>
          <w:szCs w:val="22"/>
        </w:rPr>
        <w:t>Misner</w:t>
      </w:r>
      <w:proofErr w:type="spellEnd"/>
      <w:r w:rsidRPr="00BB694E">
        <w:rPr>
          <w:rFonts w:eastAsia="Calibri" w:cs="Arial"/>
          <w:szCs w:val="22"/>
        </w:rPr>
        <w:t xml:space="preserve">, A.L. Yates, D.W. Wells, </w:t>
      </w:r>
      <w:r w:rsidRPr="00BB694E">
        <w:rPr>
          <w:rFonts w:eastAsia="Calibri" w:cs="Arial"/>
          <w:b/>
          <w:bCs/>
          <w:szCs w:val="22"/>
        </w:rPr>
        <w:t>H. Corrada Bravo</w:t>
      </w:r>
      <w:r w:rsidRPr="00BB694E">
        <w:rPr>
          <w:rFonts w:eastAsia="Calibri" w:cs="Arial"/>
          <w:szCs w:val="22"/>
        </w:rPr>
        <w:t xml:space="preserve">, K. </w:t>
      </w:r>
      <w:proofErr w:type="spellStart"/>
      <w:r w:rsidRPr="00BB694E">
        <w:rPr>
          <w:rFonts w:eastAsia="Calibri" w:cs="Arial"/>
          <w:szCs w:val="22"/>
        </w:rPr>
        <w:t>Fredrikson</w:t>
      </w:r>
      <w:proofErr w:type="spellEnd"/>
      <w:r w:rsidRPr="00BB694E">
        <w:rPr>
          <w:rFonts w:eastAsia="Calibri" w:cs="Arial"/>
          <w:szCs w:val="22"/>
        </w:rPr>
        <w:t xml:space="preserve">, W. Tan, </w:t>
      </w:r>
      <w:r w:rsidR="00E10888">
        <w:lastRenderedPageBreak/>
        <w:t>D. Research Support</w:t>
      </w:r>
    </w:p>
    <w:p w14:paraId="5E330193" w14:textId="77777777" w:rsidR="00022C65" w:rsidRDefault="00022C65" w:rsidP="00132AFB">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360"/>
      </w:pPr>
      <w:bookmarkStart w:id="0" w:name="_GoBack"/>
      <w:bookmarkEnd w:id="0"/>
    </w:p>
    <w:p w14:paraId="077FAC7F" w14:textId="77777777" w:rsidR="00E10888" w:rsidRDefault="00E10888" w:rsidP="00E10888">
      <w:pPr>
        <w:rPr>
          <w:rFonts w:eastAsia="Calibri"/>
          <w:b/>
          <w:u w:val="single"/>
        </w:rPr>
      </w:pPr>
      <w:r>
        <w:rPr>
          <w:rFonts w:eastAsia="Calibri"/>
          <w:b/>
          <w:u w:val="single"/>
        </w:rPr>
        <w:t>Ongoing Research Support</w:t>
      </w:r>
    </w:p>
    <w:p w14:paraId="48092794" w14:textId="77777777" w:rsidR="00E10888" w:rsidRDefault="00E10888" w:rsidP="00E10888">
      <w:pPr>
        <w:rPr>
          <w:rFonts w:eastAsia="Calibri"/>
        </w:rPr>
      </w:pPr>
    </w:p>
    <w:p w14:paraId="22402F63" w14:textId="77777777" w:rsidR="002B3725" w:rsidRDefault="002B3725" w:rsidP="00E10888">
      <w:pPr>
        <w:rPr>
          <w:rFonts w:eastAsia="Calibri" w:cs="Arial"/>
          <w:szCs w:val="22"/>
        </w:rPr>
      </w:pPr>
    </w:p>
    <w:p w14:paraId="13669B8B" w14:textId="77777777" w:rsidR="002B3725" w:rsidRDefault="002B3725" w:rsidP="00E10888">
      <w:pPr>
        <w:rPr>
          <w:rFonts w:eastAsia="Calibri" w:cs="Arial"/>
          <w:szCs w:val="22"/>
        </w:rPr>
      </w:pPr>
      <w:r>
        <w:rPr>
          <w:rFonts w:eastAsia="Calibri" w:cs="Arial"/>
          <w:b/>
          <w:szCs w:val="22"/>
          <w:u w:val="single"/>
        </w:rPr>
        <w:t>Completed Research Support</w:t>
      </w:r>
    </w:p>
    <w:p w14:paraId="6269EE46" w14:textId="77777777" w:rsidR="002B3725" w:rsidRPr="002B3725" w:rsidRDefault="002B3725" w:rsidP="00E10888">
      <w:pPr>
        <w:rPr>
          <w:rFonts w:eastAsia="Calibri" w:cs="Arial"/>
          <w:szCs w:val="22"/>
        </w:rPr>
      </w:pPr>
    </w:p>
    <w:p w14:paraId="14E6D7E9" w14:textId="77777777" w:rsidR="002B3725" w:rsidRDefault="002B3725" w:rsidP="002B3725">
      <w:pPr>
        <w:rPr>
          <w:rFonts w:eastAsia="Calibri"/>
        </w:rPr>
      </w:pPr>
      <w:r>
        <w:rPr>
          <w:rFonts w:eastAsia="Calibri"/>
        </w:rPr>
        <w:t>R01 HG005220-03</w:t>
      </w:r>
      <w:r>
        <w:rPr>
          <w:rFonts w:eastAsia="Calibri"/>
        </w:rPr>
        <w:tab/>
      </w:r>
      <w:r>
        <w:rPr>
          <w:rFonts w:eastAsia="Calibri"/>
        </w:rPr>
        <w:tab/>
      </w:r>
      <w:r w:rsidR="00DF6E71">
        <w:rPr>
          <w:rFonts w:eastAsia="Calibri"/>
        </w:rPr>
        <w:t xml:space="preserve">R.A., </w:t>
      </w:r>
      <w:r>
        <w:rPr>
          <w:rFonts w:eastAsia="Calibri"/>
        </w:rPr>
        <w:t>Irizarry (PI)</w:t>
      </w:r>
      <w:r w:rsidR="00DF6E71">
        <w:rPr>
          <w:rFonts w:eastAsia="Calibri"/>
        </w:rPr>
        <w:tab/>
      </w:r>
      <w:r w:rsidR="00DF6E71">
        <w:rPr>
          <w:rFonts w:eastAsia="Calibri"/>
        </w:rPr>
        <w:tab/>
      </w:r>
      <w:r w:rsidR="00DF6E71">
        <w:rPr>
          <w:rFonts w:eastAsia="Calibri"/>
        </w:rPr>
        <w:tab/>
      </w:r>
      <w:r w:rsidR="00DF6E71">
        <w:rPr>
          <w:rFonts w:eastAsia="Calibri"/>
        </w:rPr>
        <w:tab/>
      </w:r>
      <w:r w:rsidR="00DF6E71">
        <w:rPr>
          <w:rFonts w:eastAsia="Calibri"/>
        </w:rPr>
        <w:tab/>
        <w:t>08/01/2010-05/25/2014</w:t>
      </w:r>
    </w:p>
    <w:p w14:paraId="76F5CF5F" w14:textId="77777777" w:rsidR="002B3725" w:rsidRDefault="002B3725" w:rsidP="002B3725">
      <w:pPr>
        <w:rPr>
          <w:rFonts w:eastAsia="Calibri" w:cs="Arial"/>
          <w:szCs w:val="22"/>
        </w:rPr>
      </w:pPr>
      <w:r w:rsidRPr="001A0574">
        <w:rPr>
          <w:rFonts w:eastAsia="Calibri" w:cs="Arial"/>
          <w:szCs w:val="22"/>
        </w:rPr>
        <w:t xml:space="preserve">Analysis tools and software for </w:t>
      </w:r>
      <w:proofErr w:type="gramStart"/>
      <w:r w:rsidRPr="001A0574">
        <w:rPr>
          <w:rFonts w:eastAsia="Calibri" w:cs="Arial"/>
          <w:szCs w:val="22"/>
        </w:rPr>
        <w:t>second generation</w:t>
      </w:r>
      <w:proofErr w:type="gramEnd"/>
      <w:r w:rsidRPr="001A0574">
        <w:rPr>
          <w:rFonts w:eastAsia="Calibri" w:cs="Arial"/>
          <w:szCs w:val="22"/>
        </w:rPr>
        <w:t xml:space="preserve"> sequencing</w:t>
      </w:r>
    </w:p>
    <w:p w14:paraId="4F216586" w14:textId="77777777" w:rsidR="002B3725" w:rsidRDefault="002B3725" w:rsidP="002B3725">
      <w:pPr>
        <w:rPr>
          <w:rFonts w:eastAsia="Calibri" w:cs="Arial"/>
          <w:szCs w:val="22"/>
        </w:rPr>
      </w:pPr>
      <w:r>
        <w:rPr>
          <w:rFonts w:eastAsia="Calibri" w:cs="Arial"/>
          <w:szCs w:val="22"/>
        </w:rPr>
        <w:t xml:space="preserve">The goal of this </w:t>
      </w:r>
      <w:r w:rsidR="009135B6">
        <w:rPr>
          <w:rFonts w:eastAsia="Calibri" w:cs="Arial"/>
          <w:szCs w:val="22"/>
        </w:rPr>
        <w:t>project</w:t>
      </w:r>
      <w:r>
        <w:rPr>
          <w:rFonts w:eastAsia="Calibri" w:cs="Arial"/>
          <w:szCs w:val="22"/>
        </w:rPr>
        <w:t xml:space="preserve"> is to develop methods and software for analysis of second-generation data. This includes methods for quality assessment, and for analysis of whole-</w:t>
      </w:r>
      <w:proofErr w:type="spellStart"/>
      <w:r>
        <w:rPr>
          <w:rFonts w:eastAsia="Calibri" w:cs="Arial"/>
          <w:szCs w:val="22"/>
        </w:rPr>
        <w:t>epigenome</w:t>
      </w:r>
      <w:proofErr w:type="spellEnd"/>
      <w:r>
        <w:rPr>
          <w:rFonts w:eastAsia="Calibri" w:cs="Arial"/>
          <w:szCs w:val="22"/>
        </w:rPr>
        <w:t xml:space="preserve"> data.</w:t>
      </w:r>
    </w:p>
    <w:p w14:paraId="4F40A2D1" w14:textId="77777777" w:rsidR="002B3725" w:rsidRDefault="002B3725" w:rsidP="002B3725">
      <w:pPr>
        <w:rPr>
          <w:rFonts w:eastAsia="Calibri" w:cs="Arial"/>
          <w:szCs w:val="22"/>
        </w:rPr>
      </w:pPr>
      <w:r>
        <w:rPr>
          <w:rFonts w:eastAsia="Calibri" w:cs="Arial"/>
          <w:szCs w:val="22"/>
        </w:rPr>
        <w:t>Role: Co-Investigator</w:t>
      </w:r>
    </w:p>
    <w:p w14:paraId="7DB2FD4B" w14:textId="77777777" w:rsidR="002B3725" w:rsidRDefault="002B3725" w:rsidP="00E10888">
      <w:pPr>
        <w:rPr>
          <w:rFonts w:eastAsia="Calibri" w:cs="Arial"/>
          <w:szCs w:val="22"/>
        </w:rPr>
      </w:pPr>
    </w:p>
    <w:p w14:paraId="56AC307D" w14:textId="77777777" w:rsidR="00DF6E71" w:rsidRDefault="00DF6E71" w:rsidP="00DF6E71">
      <w:pPr>
        <w:rPr>
          <w:rFonts w:eastAsia="Calibri" w:cs="Arial"/>
          <w:szCs w:val="22"/>
        </w:rPr>
      </w:pPr>
      <w:r>
        <w:rPr>
          <w:rFonts w:eastAsia="Calibri" w:cs="Arial"/>
          <w:szCs w:val="22"/>
        </w:rPr>
        <w:t>R01 HG006102-02</w:t>
      </w:r>
      <w:r>
        <w:rPr>
          <w:rFonts w:eastAsia="Calibri" w:cs="Arial"/>
          <w:szCs w:val="22"/>
        </w:rPr>
        <w:tab/>
      </w:r>
      <w:r>
        <w:rPr>
          <w:rFonts w:eastAsia="Calibri" w:cs="Arial"/>
          <w:szCs w:val="22"/>
        </w:rPr>
        <w:tab/>
        <w:t xml:space="preserve">S. </w:t>
      </w:r>
      <w:proofErr w:type="spellStart"/>
      <w:r>
        <w:rPr>
          <w:rFonts w:eastAsia="Calibri" w:cs="Arial"/>
          <w:szCs w:val="22"/>
        </w:rPr>
        <w:t>Salzberg</w:t>
      </w:r>
      <w:proofErr w:type="spellEnd"/>
      <w:r>
        <w:rPr>
          <w:rFonts w:eastAsia="Calibri" w:cs="Arial"/>
          <w:szCs w:val="22"/>
        </w:rPr>
        <w:t xml:space="preserve"> (PI)</w:t>
      </w:r>
      <w:r>
        <w:rPr>
          <w:rFonts w:eastAsia="Calibri" w:cs="Arial"/>
          <w:szCs w:val="22"/>
        </w:rPr>
        <w:tab/>
      </w:r>
      <w:r>
        <w:rPr>
          <w:rFonts w:eastAsia="Calibri" w:cs="Arial"/>
          <w:szCs w:val="22"/>
        </w:rPr>
        <w:tab/>
      </w:r>
      <w:r>
        <w:rPr>
          <w:rFonts w:eastAsia="Calibri" w:cs="Arial"/>
          <w:szCs w:val="22"/>
        </w:rPr>
        <w:tab/>
      </w:r>
      <w:r>
        <w:rPr>
          <w:rFonts w:eastAsia="Calibri" w:cs="Arial"/>
          <w:szCs w:val="22"/>
        </w:rPr>
        <w:tab/>
      </w:r>
      <w:r>
        <w:rPr>
          <w:rFonts w:eastAsia="Calibri" w:cs="Arial"/>
          <w:szCs w:val="22"/>
        </w:rPr>
        <w:tab/>
        <w:t>05/01/2011-04/25/2014</w:t>
      </w:r>
    </w:p>
    <w:p w14:paraId="26CD0A32" w14:textId="77777777" w:rsidR="00DF6E71" w:rsidRDefault="00DF6E71" w:rsidP="00DF6E71">
      <w:pPr>
        <w:rPr>
          <w:rFonts w:eastAsia="Calibri" w:cs="Arial"/>
          <w:szCs w:val="22"/>
        </w:rPr>
      </w:pPr>
      <w:r>
        <w:rPr>
          <w:rFonts w:eastAsia="Calibri" w:cs="Arial"/>
          <w:szCs w:val="22"/>
        </w:rPr>
        <w:t>Alignment software for second-generation sequencing</w:t>
      </w:r>
    </w:p>
    <w:p w14:paraId="230CF163" w14:textId="77777777" w:rsidR="00DF6E71" w:rsidRDefault="00DF6E71" w:rsidP="00DF6E71">
      <w:pPr>
        <w:rPr>
          <w:rFonts w:eastAsia="Calibri" w:cs="Arial"/>
          <w:szCs w:val="22"/>
        </w:rPr>
      </w:pPr>
      <w:r>
        <w:rPr>
          <w:rFonts w:eastAsia="Calibri" w:cs="Arial"/>
          <w:szCs w:val="22"/>
        </w:rPr>
        <w:t xml:space="preserve">The goal of this project is to develop software for alignment of short read data produced by </w:t>
      </w:r>
      <w:proofErr w:type="gramStart"/>
      <w:r>
        <w:rPr>
          <w:rFonts w:eastAsia="Calibri" w:cs="Arial"/>
          <w:szCs w:val="22"/>
        </w:rPr>
        <w:t>second generation</w:t>
      </w:r>
      <w:proofErr w:type="gramEnd"/>
      <w:r>
        <w:rPr>
          <w:rFonts w:eastAsia="Calibri" w:cs="Arial"/>
          <w:szCs w:val="22"/>
        </w:rPr>
        <w:t xml:space="preserve"> sequencing methods.</w:t>
      </w:r>
    </w:p>
    <w:p w14:paraId="429538E8" w14:textId="77777777" w:rsidR="00DF6E71" w:rsidRDefault="00DF6E71" w:rsidP="00DF6E71">
      <w:pPr>
        <w:rPr>
          <w:rFonts w:eastAsia="Calibri" w:cs="Arial"/>
          <w:szCs w:val="22"/>
        </w:rPr>
      </w:pPr>
      <w:r>
        <w:rPr>
          <w:rFonts w:eastAsia="Calibri" w:cs="Arial"/>
          <w:szCs w:val="22"/>
        </w:rPr>
        <w:t>Role: Co-Investigator</w:t>
      </w:r>
    </w:p>
    <w:p w14:paraId="71B5033B" w14:textId="77777777" w:rsidR="00665E4D" w:rsidRPr="001A0574" w:rsidRDefault="00665E4D" w:rsidP="00E10888">
      <w:pPr>
        <w:rPr>
          <w:rFonts w:eastAsia="Calibri" w:cs="Arial"/>
          <w:szCs w:val="22"/>
        </w:rPr>
      </w:pPr>
    </w:p>
    <w:p w14:paraId="4849DE4D" w14:textId="77777777" w:rsidR="00D710A7" w:rsidRPr="00C925E6" w:rsidRDefault="00D710A7" w:rsidP="00B868D3">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360"/>
        <w:rPr>
          <w:rFonts w:eastAsia="Calibri" w:cs="Arial"/>
          <w:szCs w:val="22"/>
        </w:rPr>
      </w:pPr>
    </w:p>
    <w:p w14:paraId="54E21127" w14:textId="77777777" w:rsidR="00693C0E" w:rsidRDefault="00693C0E" w:rsidP="00693C0E">
      <w:pPr>
        <w:ind w:left="360"/>
      </w:pPr>
    </w:p>
    <w:p w14:paraId="7FB8F58F" w14:textId="77777777" w:rsidR="00693C0E" w:rsidRDefault="00693C0E" w:rsidP="00693C0E">
      <w:pPr>
        <w:ind w:left="360"/>
      </w:pPr>
    </w:p>
    <w:sectPr w:rsidR="00693C0E" w:rsidSect="00693C0E">
      <w:headerReference w:type="default" r:id="rId12"/>
      <w:footerReference w:type="default" r:id="rId13"/>
      <w:type w:val="continuous"/>
      <w:pgSz w:w="12240" w:h="15840" w:code="1"/>
      <w:pgMar w:top="1152" w:right="720" w:bottom="720" w:left="720" w:header="720" w:footer="72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7346CB" w14:textId="77777777" w:rsidR="0051055D" w:rsidRDefault="0051055D">
      <w:r>
        <w:separator/>
      </w:r>
    </w:p>
  </w:endnote>
  <w:endnote w:type="continuationSeparator" w:id="0">
    <w:p w14:paraId="446182B3" w14:textId="77777777" w:rsidR="0051055D" w:rsidRDefault="00510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38348" w14:textId="77777777" w:rsidR="0051055D" w:rsidRPr="000D32CE" w:rsidRDefault="0051055D" w:rsidP="00693C0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B15A78" w14:textId="77777777" w:rsidR="0051055D" w:rsidRDefault="0051055D">
      <w:r>
        <w:separator/>
      </w:r>
    </w:p>
  </w:footnote>
  <w:footnote w:type="continuationSeparator" w:id="0">
    <w:p w14:paraId="0A66539F" w14:textId="77777777" w:rsidR="0051055D" w:rsidRDefault="005105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640D5" w14:textId="77777777" w:rsidR="0051055D" w:rsidRPr="000D32CE" w:rsidRDefault="0051055D" w:rsidP="00693C0E">
    <w:pPr>
      <w:pStyle w:val="Header"/>
      <w:rPr>
        <w:rStyle w:val="DataField11pt-SingleChar"/>
        <w:rFonts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CCC95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7DA16DA"/>
    <w:lvl w:ilvl="0">
      <w:start w:val="1"/>
      <w:numFmt w:val="decimal"/>
      <w:lvlText w:val="%1."/>
      <w:lvlJc w:val="left"/>
      <w:pPr>
        <w:tabs>
          <w:tab w:val="num" w:pos="1800"/>
        </w:tabs>
        <w:ind w:left="1800" w:hanging="360"/>
      </w:pPr>
    </w:lvl>
  </w:abstractNum>
  <w:abstractNum w:abstractNumId="2">
    <w:nsid w:val="FFFFFF7D"/>
    <w:multiLevelType w:val="singleLevel"/>
    <w:tmpl w:val="07A6DF38"/>
    <w:lvl w:ilvl="0">
      <w:start w:val="1"/>
      <w:numFmt w:val="decimal"/>
      <w:lvlText w:val="%1."/>
      <w:lvlJc w:val="left"/>
      <w:pPr>
        <w:tabs>
          <w:tab w:val="num" w:pos="1440"/>
        </w:tabs>
        <w:ind w:left="1440" w:hanging="360"/>
      </w:pPr>
    </w:lvl>
  </w:abstractNum>
  <w:abstractNum w:abstractNumId="3">
    <w:nsid w:val="FFFFFF7E"/>
    <w:multiLevelType w:val="singleLevel"/>
    <w:tmpl w:val="2F16DFB2"/>
    <w:lvl w:ilvl="0">
      <w:start w:val="1"/>
      <w:numFmt w:val="decimal"/>
      <w:lvlText w:val="%1."/>
      <w:lvlJc w:val="left"/>
      <w:pPr>
        <w:tabs>
          <w:tab w:val="num" w:pos="1080"/>
        </w:tabs>
        <w:ind w:left="1080" w:hanging="360"/>
      </w:pPr>
    </w:lvl>
  </w:abstractNum>
  <w:abstractNum w:abstractNumId="4">
    <w:nsid w:val="FFFFFF7F"/>
    <w:multiLevelType w:val="singleLevel"/>
    <w:tmpl w:val="61D2533A"/>
    <w:lvl w:ilvl="0">
      <w:start w:val="1"/>
      <w:numFmt w:val="decimal"/>
      <w:lvlText w:val="%1."/>
      <w:lvlJc w:val="left"/>
      <w:pPr>
        <w:tabs>
          <w:tab w:val="num" w:pos="720"/>
        </w:tabs>
        <w:ind w:left="720" w:hanging="360"/>
      </w:pPr>
    </w:lvl>
  </w:abstractNum>
  <w:abstractNum w:abstractNumId="5">
    <w:nsid w:val="FFFFFF80"/>
    <w:multiLevelType w:val="singleLevel"/>
    <w:tmpl w:val="9724B6E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182D1E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B8402E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94E2C6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35B4AC74"/>
    <w:lvl w:ilvl="0">
      <w:start w:val="1"/>
      <w:numFmt w:val="decimal"/>
      <w:lvlText w:val="%1."/>
      <w:lvlJc w:val="left"/>
      <w:pPr>
        <w:tabs>
          <w:tab w:val="num" w:pos="360"/>
        </w:tabs>
        <w:ind w:left="360" w:hanging="360"/>
      </w:pPr>
    </w:lvl>
  </w:abstractNum>
  <w:abstractNum w:abstractNumId="10">
    <w:nsid w:val="FFFFFF89"/>
    <w:multiLevelType w:val="singleLevel"/>
    <w:tmpl w:val="29FE6F50"/>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144A7E00"/>
    <w:multiLevelType w:val="hybridMultilevel"/>
    <w:tmpl w:val="47109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61638D"/>
    <w:multiLevelType w:val="hybridMultilevel"/>
    <w:tmpl w:val="DAD4A638"/>
    <w:lvl w:ilvl="0" w:tplc="A4C47E6A">
      <w:start w:val="1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683ABA"/>
    <w:multiLevelType w:val="multilevel"/>
    <w:tmpl w:val="0F9E89D0"/>
    <w:lvl w:ilvl="0">
      <w:start w:val="1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78A1AB2"/>
    <w:multiLevelType w:val="hybridMultilevel"/>
    <w:tmpl w:val="99086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B2464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1B11E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9B72C5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16A22CC"/>
    <w:multiLevelType w:val="multilevel"/>
    <w:tmpl w:val="0409001F"/>
    <w:numStyleLink w:val="111111"/>
  </w:abstractNum>
  <w:abstractNum w:abstractNumId="20">
    <w:nsid w:val="5DE733A7"/>
    <w:multiLevelType w:val="hybridMultilevel"/>
    <w:tmpl w:val="B2607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C96A15"/>
    <w:multiLevelType w:val="multilevel"/>
    <w:tmpl w:val="6BA87A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nsid w:val="68ED22C6"/>
    <w:multiLevelType w:val="multilevel"/>
    <w:tmpl w:val="0646E9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nsid w:val="696D4B93"/>
    <w:multiLevelType w:val="multilevel"/>
    <w:tmpl w:val="C24C592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732A5F89"/>
    <w:multiLevelType w:val="hybridMultilevel"/>
    <w:tmpl w:val="93EE9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5"/>
  </w:num>
  <w:num w:numId="2">
    <w:abstractNumId w:val="17"/>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1"/>
  </w:num>
  <w:num w:numId="15">
    <w:abstractNumId w:val="23"/>
  </w:num>
  <w:num w:numId="16">
    <w:abstractNumId w:val="22"/>
  </w:num>
  <w:num w:numId="17">
    <w:abstractNumId w:val="19"/>
    <w:lvlOverride w:ilvl="0">
      <w:lvl w:ilvl="0">
        <w:start w:val="1"/>
        <w:numFmt w:val="decimal"/>
        <w:lvlText w:val="%1."/>
        <w:lvlJc w:val="left"/>
        <w:pPr>
          <w:ind w:left="360" w:hanging="360"/>
        </w:pPr>
        <w:rPr>
          <w:i w:val="0"/>
          <w:iCs w:val="0"/>
        </w:rPr>
      </w:lvl>
    </w:lvlOverride>
  </w:num>
  <w:num w:numId="18">
    <w:abstractNumId w:val="21"/>
  </w:num>
  <w:num w:numId="19">
    <w:abstractNumId w:val="16"/>
  </w:num>
  <w:num w:numId="20">
    <w:abstractNumId w:val="19"/>
    <w:lvlOverride w:ilvl="0">
      <w:lvl w:ilvl="0">
        <w:start w:val="1"/>
        <w:numFmt w:val="decimal"/>
        <w:lvlText w:val="%1."/>
        <w:lvlJc w:val="left"/>
        <w:pPr>
          <w:ind w:left="360" w:hanging="360"/>
        </w:pPr>
        <w:rPr>
          <w:i w:val="0"/>
          <w:iCs w:val="0"/>
        </w:r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1">
    <w:abstractNumId w:val="18"/>
  </w:num>
  <w:num w:numId="22">
    <w:abstractNumId w:val="14"/>
  </w:num>
  <w:num w:numId="23">
    <w:abstractNumId w:val="13"/>
  </w:num>
  <w:num w:numId="24">
    <w:abstractNumId w:val="24"/>
  </w:num>
  <w:num w:numId="25">
    <w:abstractNumId w:val="12"/>
  </w:num>
  <w:num w:numId="26">
    <w:abstractNumId w:val="2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EDD"/>
    <w:rsid w:val="00022C65"/>
    <w:rsid w:val="00070B2D"/>
    <w:rsid w:val="000830B1"/>
    <w:rsid w:val="000A07AB"/>
    <w:rsid w:val="000E01C0"/>
    <w:rsid w:val="000E0D90"/>
    <w:rsid w:val="0011334F"/>
    <w:rsid w:val="00132AFB"/>
    <w:rsid w:val="00195173"/>
    <w:rsid w:val="001A0574"/>
    <w:rsid w:val="001D7ED6"/>
    <w:rsid w:val="002530E1"/>
    <w:rsid w:val="0029687F"/>
    <w:rsid w:val="002B3725"/>
    <w:rsid w:val="002C7DB7"/>
    <w:rsid w:val="002D3AD8"/>
    <w:rsid w:val="00305090"/>
    <w:rsid w:val="003208FA"/>
    <w:rsid w:val="00364ADE"/>
    <w:rsid w:val="00370E68"/>
    <w:rsid w:val="003D4993"/>
    <w:rsid w:val="00437598"/>
    <w:rsid w:val="0044497B"/>
    <w:rsid w:val="0045388C"/>
    <w:rsid w:val="004D0832"/>
    <w:rsid w:val="004F7968"/>
    <w:rsid w:val="0051055D"/>
    <w:rsid w:val="005208D8"/>
    <w:rsid w:val="00555B3F"/>
    <w:rsid w:val="005B57ED"/>
    <w:rsid w:val="005C1AAC"/>
    <w:rsid w:val="005C5F4A"/>
    <w:rsid w:val="0061086F"/>
    <w:rsid w:val="00665E4D"/>
    <w:rsid w:val="00667E3E"/>
    <w:rsid w:val="00693C0E"/>
    <w:rsid w:val="006A4114"/>
    <w:rsid w:val="006C5FEF"/>
    <w:rsid w:val="0073134E"/>
    <w:rsid w:val="00753413"/>
    <w:rsid w:val="0075544E"/>
    <w:rsid w:val="007A5C5D"/>
    <w:rsid w:val="007C7CEF"/>
    <w:rsid w:val="007D5F3C"/>
    <w:rsid w:val="008B26A4"/>
    <w:rsid w:val="008C7EDD"/>
    <w:rsid w:val="008E441B"/>
    <w:rsid w:val="009135B6"/>
    <w:rsid w:val="00925764"/>
    <w:rsid w:val="00934061"/>
    <w:rsid w:val="009A3218"/>
    <w:rsid w:val="009A580C"/>
    <w:rsid w:val="009A772C"/>
    <w:rsid w:val="009C1F98"/>
    <w:rsid w:val="009C30EB"/>
    <w:rsid w:val="009F1EEC"/>
    <w:rsid w:val="009F3037"/>
    <w:rsid w:val="00A25A48"/>
    <w:rsid w:val="00A83352"/>
    <w:rsid w:val="00AA1CF4"/>
    <w:rsid w:val="00AD4814"/>
    <w:rsid w:val="00B26C6B"/>
    <w:rsid w:val="00B4031E"/>
    <w:rsid w:val="00B56B15"/>
    <w:rsid w:val="00B868D3"/>
    <w:rsid w:val="00BA5B0C"/>
    <w:rsid w:val="00BB694E"/>
    <w:rsid w:val="00BE1F74"/>
    <w:rsid w:val="00C33C55"/>
    <w:rsid w:val="00C8096E"/>
    <w:rsid w:val="00C86424"/>
    <w:rsid w:val="00C86D5A"/>
    <w:rsid w:val="00C925E6"/>
    <w:rsid w:val="00CB13B1"/>
    <w:rsid w:val="00CB2440"/>
    <w:rsid w:val="00CB2DDB"/>
    <w:rsid w:val="00CD6625"/>
    <w:rsid w:val="00D33AB1"/>
    <w:rsid w:val="00D710A7"/>
    <w:rsid w:val="00D97F61"/>
    <w:rsid w:val="00DF6E71"/>
    <w:rsid w:val="00E10888"/>
    <w:rsid w:val="00E71687"/>
    <w:rsid w:val="00EE269D"/>
    <w:rsid w:val="00F40EF8"/>
    <w:rsid w:val="00F82BE3"/>
    <w:rsid w:val="00F86CEC"/>
    <w:rsid w:val="00FB2664"/>
    <w:rsid w:val="00FD3C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B9A1F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EDD"/>
    <w:pPr>
      <w:autoSpaceDE w:val="0"/>
      <w:autoSpaceDN w:val="0"/>
    </w:pPr>
    <w:rPr>
      <w:rFonts w:ascii="Arial" w:eastAsia="Times New Roman" w:hAnsi="Arial"/>
      <w:sz w:val="22"/>
      <w:szCs w:val="24"/>
    </w:rPr>
  </w:style>
  <w:style w:type="paragraph" w:styleId="Heading1">
    <w:name w:val="heading 1"/>
    <w:basedOn w:val="Normal"/>
    <w:next w:val="Normal"/>
    <w:link w:val="Heading1Char"/>
    <w:qFormat/>
    <w:rsid w:val="008C7EDD"/>
    <w:pPr>
      <w:jc w:val="center"/>
      <w:outlineLvl w:val="0"/>
    </w:pPr>
    <w:rPr>
      <w:rFonts w:cs="Arial"/>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C7EDD"/>
    <w:rPr>
      <w:rFonts w:ascii="Arial" w:eastAsia="Times New Roman" w:hAnsi="Arial" w:cs="Arial"/>
      <w:b/>
      <w:bCs/>
    </w:rPr>
  </w:style>
  <w:style w:type="paragraph" w:styleId="Header">
    <w:name w:val="header"/>
    <w:basedOn w:val="Normal"/>
    <w:link w:val="HeaderChar"/>
    <w:rsid w:val="008C7EDD"/>
    <w:pPr>
      <w:tabs>
        <w:tab w:val="center" w:pos="4320"/>
        <w:tab w:val="right" w:pos="8640"/>
      </w:tabs>
    </w:pPr>
  </w:style>
  <w:style w:type="character" w:customStyle="1" w:styleId="HeaderChar">
    <w:name w:val="Header Char"/>
    <w:link w:val="Header"/>
    <w:rsid w:val="008C7EDD"/>
    <w:rPr>
      <w:rFonts w:ascii="Arial" w:eastAsia="Times New Roman" w:hAnsi="Arial" w:cs="Times New Roman"/>
      <w:szCs w:val="24"/>
    </w:rPr>
  </w:style>
  <w:style w:type="paragraph" w:customStyle="1" w:styleId="DataField11pt-Single">
    <w:name w:val="Data Field 11pt-Single"/>
    <w:basedOn w:val="Normal"/>
    <w:link w:val="DataField11pt-SingleChar"/>
    <w:rsid w:val="008C7EDD"/>
    <w:rPr>
      <w:rFonts w:cs="Arial"/>
      <w:szCs w:val="20"/>
    </w:rPr>
  </w:style>
  <w:style w:type="character" w:customStyle="1" w:styleId="DataField11pt-SingleChar">
    <w:name w:val="Data Field 11pt-Single Char"/>
    <w:link w:val="DataField11pt-Single"/>
    <w:rsid w:val="008C7EDD"/>
    <w:rPr>
      <w:rFonts w:ascii="Arial" w:eastAsia="Times New Roman" w:hAnsi="Arial" w:cs="Arial"/>
      <w:szCs w:val="20"/>
    </w:rPr>
  </w:style>
  <w:style w:type="paragraph" w:styleId="Footer">
    <w:name w:val="footer"/>
    <w:basedOn w:val="Normal"/>
    <w:link w:val="FooterChar"/>
    <w:rsid w:val="008C7EDD"/>
    <w:pPr>
      <w:tabs>
        <w:tab w:val="center" w:pos="4320"/>
        <w:tab w:val="right" w:pos="8640"/>
      </w:tabs>
    </w:pPr>
  </w:style>
  <w:style w:type="character" w:customStyle="1" w:styleId="FooterChar">
    <w:name w:val="Footer Char"/>
    <w:link w:val="Footer"/>
    <w:rsid w:val="008C7EDD"/>
    <w:rPr>
      <w:rFonts w:ascii="Arial" w:eastAsia="Times New Roman" w:hAnsi="Arial" w:cs="Times New Roman"/>
      <w:szCs w:val="24"/>
    </w:rPr>
  </w:style>
  <w:style w:type="character" w:styleId="PageNumber">
    <w:name w:val="page number"/>
    <w:rsid w:val="008C7EDD"/>
    <w:rPr>
      <w:rFonts w:ascii="Arial" w:hAnsi="Arial"/>
      <w:sz w:val="20"/>
      <w:u w:val="single"/>
    </w:rPr>
  </w:style>
  <w:style w:type="paragraph" w:customStyle="1" w:styleId="FormFooterBorder">
    <w:name w:val="FormFooter/Border"/>
    <w:basedOn w:val="Footer"/>
    <w:rsid w:val="008C7EDD"/>
    <w:pPr>
      <w:pBdr>
        <w:top w:val="single" w:sz="6" w:space="1" w:color="auto"/>
      </w:pBdr>
      <w:tabs>
        <w:tab w:val="clear" w:pos="4320"/>
        <w:tab w:val="clear" w:pos="8640"/>
        <w:tab w:val="center" w:pos="5400"/>
        <w:tab w:val="right" w:pos="10800"/>
      </w:tabs>
    </w:pPr>
    <w:rPr>
      <w:rFonts w:cs="Arial"/>
      <w:sz w:val="16"/>
      <w:szCs w:val="16"/>
    </w:rPr>
  </w:style>
  <w:style w:type="paragraph" w:customStyle="1" w:styleId="FormFieldCaption">
    <w:name w:val="Form Field Caption"/>
    <w:basedOn w:val="Normal"/>
    <w:rsid w:val="008C7EDD"/>
    <w:pPr>
      <w:tabs>
        <w:tab w:val="left" w:pos="270"/>
      </w:tabs>
    </w:pPr>
    <w:rPr>
      <w:rFonts w:cs="Arial"/>
      <w:sz w:val="16"/>
      <w:szCs w:val="16"/>
    </w:rPr>
  </w:style>
  <w:style w:type="paragraph" w:customStyle="1" w:styleId="PIHeader">
    <w:name w:val="PI Header"/>
    <w:basedOn w:val="Normal"/>
    <w:rsid w:val="008C7EDD"/>
    <w:pPr>
      <w:spacing w:after="40"/>
      <w:ind w:left="864"/>
    </w:pPr>
    <w:rPr>
      <w:rFonts w:cs="Arial"/>
      <w:noProof/>
      <w:sz w:val="16"/>
      <w:szCs w:val="20"/>
    </w:rPr>
  </w:style>
  <w:style w:type="paragraph" w:customStyle="1" w:styleId="HeadNoteNotItalics">
    <w:name w:val="HeadNoteNotItalics"/>
    <w:basedOn w:val="Normal"/>
    <w:rsid w:val="008C7EDD"/>
    <w:pPr>
      <w:spacing w:before="40" w:after="40"/>
      <w:jc w:val="center"/>
    </w:pPr>
    <w:rPr>
      <w:rFonts w:cs="Arial"/>
      <w:iCs/>
      <w:sz w:val="16"/>
      <w:szCs w:val="16"/>
    </w:rPr>
  </w:style>
  <w:style w:type="paragraph" w:styleId="Subtitle">
    <w:name w:val="Subtitle"/>
    <w:basedOn w:val="Normal"/>
    <w:next w:val="Normal"/>
    <w:link w:val="SubtitleChar"/>
    <w:qFormat/>
    <w:rsid w:val="008C7EDD"/>
    <w:pPr>
      <w:keepNext/>
      <w:spacing w:before="360" w:after="120"/>
      <w:outlineLvl w:val="1"/>
    </w:pPr>
    <w:rPr>
      <w:b/>
    </w:rPr>
  </w:style>
  <w:style w:type="character" w:customStyle="1" w:styleId="SubtitleChar">
    <w:name w:val="Subtitle Char"/>
    <w:link w:val="Subtitle"/>
    <w:rsid w:val="008C7EDD"/>
    <w:rPr>
      <w:rFonts w:ascii="Arial" w:eastAsia="Times New Roman" w:hAnsi="Arial" w:cs="Times New Roman"/>
      <w:b/>
      <w:szCs w:val="24"/>
    </w:rPr>
  </w:style>
  <w:style w:type="paragraph" w:customStyle="1" w:styleId="Subtitle2">
    <w:name w:val="Subtitle 2"/>
    <w:basedOn w:val="Subtitle"/>
    <w:rsid w:val="008C7EDD"/>
    <w:pPr>
      <w:spacing w:before="240" w:after="0"/>
    </w:pPr>
    <w:rPr>
      <w:bCs/>
      <w:szCs w:val="20"/>
      <w:u w:val="single"/>
    </w:rPr>
  </w:style>
  <w:style w:type="character" w:styleId="Hyperlink">
    <w:name w:val="Hyperlink"/>
    <w:uiPriority w:val="99"/>
    <w:unhideWhenUsed/>
    <w:rsid w:val="007C7CEF"/>
    <w:rPr>
      <w:color w:val="0000FF"/>
      <w:u w:val="single"/>
    </w:rPr>
  </w:style>
  <w:style w:type="numbering" w:styleId="111111">
    <w:name w:val="Outline List 2"/>
    <w:basedOn w:val="NoList"/>
    <w:uiPriority w:val="99"/>
    <w:semiHidden/>
    <w:unhideWhenUsed/>
    <w:rsid w:val="00BB694E"/>
    <w:pPr>
      <w:numPr>
        <w:numId w:val="19"/>
      </w:numPr>
    </w:pPr>
  </w:style>
  <w:style w:type="character" w:styleId="FollowedHyperlink">
    <w:name w:val="FollowedHyperlink"/>
    <w:basedOn w:val="DefaultParagraphFont"/>
    <w:uiPriority w:val="99"/>
    <w:semiHidden/>
    <w:unhideWhenUsed/>
    <w:rsid w:val="00B26C6B"/>
    <w:rPr>
      <w:color w:val="800080" w:themeColor="followedHyperlink"/>
      <w:u w:val="single"/>
    </w:rPr>
  </w:style>
  <w:style w:type="paragraph" w:styleId="ListParagraph">
    <w:name w:val="List Paragraph"/>
    <w:basedOn w:val="Normal"/>
    <w:uiPriority w:val="72"/>
    <w:rsid w:val="005C5F4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EDD"/>
    <w:pPr>
      <w:autoSpaceDE w:val="0"/>
      <w:autoSpaceDN w:val="0"/>
    </w:pPr>
    <w:rPr>
      <w:rFonts w:ascii="Arial" w:eastAsia="Times New Roman" w:hAnsi="Arial"/>
      <w:sz w:val="22"/>
      <w:szCs w:val="24"/>
    </w:rPr>
  </w:style>
  <w:style w:type="paragraph" w:styleId="Heading1">
    <w:name w:val="heading 1"/>
    <w:basedOn w:val="Normal"/>
    <w:next w:val="Normal"/>
    <w:link w:val="Heading1Char"/>
    <w:qFormat/>
    <w:rsid w:val="008C7EDD"/>
    <w:pPr>
      <w:jc w:val="center"/>
      <w:outlineLvl w:val="0"/>
    </w:pPr>
    <w:rPr>
      <w:rFonts w:cs="Arial"/>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C7EDD"/>
    <w:rPr>
      <w:rFonts w:ascii="Arial" w:eastAsia="Times New Roman" w:hAnsi="Arial" w:cs="Arial"/>
      <w:b/>
      <w:bCs/>
    </w:rPr>
  </w:style>
  <w:style w:type="paragraph" w:styleId="Header">
    <w:name w:val="header"/>
    <w:basedOn w:val="Normal"/>
    <w:link w:val="HeaderChar"/>
    <w:rsid w:val="008C7EDD"/>
    <w:pPr>
      <w:tabs>
        <w:tab w:val="center" w:pos="4320"/>
        <w:tab w:val="right" w:pos="8640"/>
      </w:tabs>
    </w:pPr>
  </w:style>
  <w:style w:type="character" w:customStyle="1" w:styleId="HeaderChar">
    <w:name w:val="Header Char"/>
    <w:link w:val="Header"/>
    <w:rsid w:val="008C7EDD"/>
    <w:rPr>
      <w:rFonts w:ascii="Arial" w:eastAsia="Times New Roman" w:hAnsi="Arial" w:cs="Times New Roman"/>
      <w:szCs w:val="24"/>
    </w:rPr>
  </w:style>
  <w:style w:type="paragraph" w:customStyle="1" w:styleId="DataField11pt-Single">
    <w:name w:val="Data Field 11pt-Single"/>
    <w:basedOn w:val="Normal"/>
    <w:link w:val="DataField11pt-SingleChar"/>
    <w:rsid w:val="008C7EDD"/>
    <w:rPr>
      <w:rFonts w:cs="Arial"/>
      <w:szCs w:val="20"/>
    </w:rPr>
  </w:style>
  <w:style w:type="character" w:customStyle="1" w:styleId="DataField11pt-SingleChar">
    <w:name w:val="Data Field 11pt-Single Char"/>
    <w:link w:val="DataField11pt-Single"/>
    <w:rsid w:val="008C7EDD"/>
    <w:rPr>
      <w:rFonts w:ascii="Arial" w:eastAsia="Times New Roman" w:hAnsi="Arial" w:cs="Arial"/>
      <w:szCs w:val="20"/>
    </w:rPr>
  </w:style>
  <w:style w:type="paragraph" w:styleId="Footer">
    <w:name w:val="footer"/>
    <w:basedOn w:val="Normal"/>
    <w:link w:val="FooterChar"/>
    <w:rsid w:val="008C7EDD"/>
    <w:pPr>
      <w:tabs>
        <w:tab w:val="center" w:pos="4320"/>
        <w:tab w:val="right" w:pos="8640"/>
      </w:tabs>
    </w:pPr>
  </w:style>
  <w:style w:type="character" w:customStyle="1" w:styleId="FooterChar">
    <w:name w:val="Footer Char"/>
    <w:link w:val="Footer"/>
    <w:rsid w:val="008C7EDD"/>
    <w:rPr>
      <w:rFonts w:ascii="Arial" w:eastAsia="Times New Roman" w:hAnsi="Arial" w:cs="Times New Roman"/>
      <w:szCs w:val="24"/>
    </w:rPr>
  </w:style>
  <w:style w:type="character" w:styleId="PageNumber">
    <w:name w:val="page number"/>
    <w:rsid w:val="008C7EDD"/>
    <w:rPr>
      <w:rFonts w:ascii="Arial" w:hAnsi="Arial"/>
      <w:sz w:val="20"/>
      <w:u w:val="single"/>
    </w:rPr>
  </w:style>
  <w:style w:type="paragraph" w:customStyle="1" w:styleId="FormFooterBorder">
    <w:name w:val="FormFooter/Border"/>
    <w:basedOn w:val="Footer"/>
    <w:rsid w:val="008C7EDD"/>
    <w:pPr>
      <w:pBdr>
        <w:top w:val="single" w:sz="6" w:space="1" w:color="auto"/>
      </w:pBdr>
      <w:tabs>
        <w:tab w:val="clear" w:pos="4320"/>
        <w:tab w:val="clear" w:pos="8640"/>
        <w:tab w:val="center" w:pos="5400"/>
        <w:tab w:val="right" w:pos="10800"/>
      </w:tabs>
    </w:pPr>
    <w:rPr>
      <w:rFonts w:cs="Arial"/>
      <w:sz w:val="16"/>
      <w:szCs w:val="16"/>
    </w:rPr>
  </w:style>
  <w:style w:type="paragraph" w:customStyle="1" w:styleId="FormFieldCaption">
    <w:name w:val="Form Field Caption"/>
    <w:basedOn w:val="Normal"/>
    <w:rsid w:val="008C7EDD"/>
    <w:pPr>
      <w:tabs>
        <w:tab w:val="left" w:pos="270"/>
      </w:tabs>
    </w:pPr>
    <w:rPr>
      <w:rFonts w:cs="Arial"/>
      <w:sz w:val="16"/>
      <w:szCs w:val="16"/>
    </w:rPr>
  </w:style>
  <w:style w:type="paragraph" w:customStyle="1" w:styleId="PIHeader">
    <w:name w:val="PI Header"/>
    <w:basedOn w:val="Normal"/>
    <w:rsid w:val="008C7EDD"/>
    <w:pPr>
      <w:spacing w:after="40"/>
      <w:ind w:left="864"/>
    </w:pPr>
    <w:rPr>
      <w:rFonts w:cs="Arial"/>
      <w:noProof/>
      <w:sz w:val="16"/>
      <w:szCs w:val="20"/>
    </w:rPr>
  </w:style>
  <w:style w:type="paragraph" w:customStyle="1" w:styleId="HeadNoteNotItalics">
    <w:name w:val="HeadNoteNotItalics"/>
    <w:basedOn w:val="Normal"/>
    <w:rsid w:val="008C7EDD"/>
    <w:pPr>
      <w:spacing w:before="40" w:after="40"/>
      <w:jc w:val="center"/>
    </w:pPr>
    <w:rPr>
      <w:rFonts w:cs="Arial"/>
      <w:iCs/>
      <w:sz w:val="16"/>
      <w:szCs w:val="16"/>
    </w:rPr>
  </w:style>
  <w:style w:type="paragraph" w:styleId="Subtitle">
    <w:name w:val="Subtitle"/>
    <w:basedOn w:val="Normal"/>
    <w:next w:val="Normal"/>
    <w:link w:val="SubtitleChar"/>
    <w:qFormat/>
    <w:rsid w:val="008C7EDD"/>
    <w:pPr>
      <w:keepNext/>
      <w:spacing w:before="360" w:after="120"/>
      <w:outlineLvl w:val="1"/>
    </w:pPr>
    <w:rPr>
      <w:b/>
    </w:rPr>
  </w:style>
  <w:style w:type="character" w:customStyle="1" w:styleId="SubtitleChar">
    <w:name w:val="Subtitle Char"/>
    <w:link w:val="Subtitle"/>
    <w:rsid w:val="008C7EDD"/>
    <w:rPr>
      <w:rFonts w:ascii="Arial" w:eastAsia="Times New Roman" w:hAnsi="Arial" w:cs="Times New Roman"/>
      <w:b/>
      <w:szCs w:val="24"/>
    </w:rPr>
  </w:style>
  <w:style w:type="paragraph" w:customStyle="1" w:styleId="Subtitle2">
    <w:name w:val="Subtitle 2"/>
    <w:basedOn w:val="Subtitle"/>
    <w:rsid w:val="008C7EDD"/>
    <w:pPr>
      <w:spacing w:before="240" w:after="0"/>
    </w:pPr>
    <w:rPr>
      <w:bCs/>
      <w:szCs w:val="20"/>
      <w:u w:val="single"/>
    </w:rPr>
  </w:style>
  <w:style w:type="character" w:styleId="Hyperlink">
    <w:name w:val="Hyperlink"/>
    <w:uiPriority w:val="99"/>
    <w:unhideWhenUsed/>
    <w:rsid w:val="007C7CEF"/>
    <w:rPr>
      <w:color w:val="0000FF"/>
      <w:u w:val="single"/>
    </w:rPr>
  </w:style>
  <w:style w:type="numbering" w:styleId="111111">
    <w:name w:val="Outline List 2"/>
    <w:basedOn w:val="NoList"/>
    <w:uiPriority w:val="99"/>
    <w:semiHidden/>
    <w:unhideWhenUsed/>
    <w:rsid w:val="00BB694E"/>
    <w:pPr>
      <w:numPr>
        <w:numId w:val="19"/>
      </w:numPr>
    </w:pPr>
  </w:style>
  <w:style w:type="character" w:styleId="FollowedHyperlink">
    <w:name w:val="FollowedHyperlink"/>
    <w:basedOn w:val="DefaultParagraphFont"/>
    <w:uiPriority w:val="99"/>
    <w:semiHidden/>
    <w:unhideWhenUsed/>
    <w:rsid w:val="00B26C6B"/>
    <w:rPr>
      <w:color w:val="800080" w:themeColor="followedHyperlink"/>
      <w:u w:val="single"/>
    </w:rPr>
  </w:style>
  <w:style w:type="paragraph" w:styleId="ListParagraph">
    <w:name w:val="List Paragraph"/>
    <w:basedOn w:val="Normal"/>
    <w:uiPriority w:val="72"/>
    <w:rsid w:val="005C5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0989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bioconductor.org/packages/release/bioc/html/metagenomeSeq.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piviz.cbcb.umd.edu" TargetMode="External"/><Relationship Id="rId9" Type="http://schemas.openxmlformats.org/officeDocument/2006/relationships/hyperlink" Target="http://bioconductor.org/packages/release/bioc/html/antiProfiles.html" TargetMode="External"/><Relationship Id="rId10" Type="http://schemas.openxmlformats.org/officeDocument/2006/relationships/hyperlink" Target="https://github.com/epiviz/epiv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1931</Words>
  <Characters>11009</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12915</CharactersWithSpaces>
  <SharedDoc>false</SharedDoc>
  <HLinks>
    <vt:vector size="6" baseType="variant">
      <vt:variant>
        <vt:i4>6357116</vt:i4>
      </vt:variant>
      <vt:variant>
        <vt:i4>0</vt:i4>
      </vt:variant>
      <vt:variant>
        <vt:i4>0</vt:i4>
      </vt:variant>
      <vt:variant>
        <vt:i4>5</vt:i4>
      </vt:variant>
      <vt:variant>
        <vt:lpwstr>http://epiviz.cbcb.umd.edu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Leslie Dorman</dc:creator>
  <cp:keywords/>
  <dc:description/>
  <cp:lastModifiedBy>Hector Corrada Bravo</cp:lastModifiedBy>
  <cp:revision>2</cp:revision>
  <dcterms:created xsi:type="dcterms:W3CDTF">2015-04-30T14:24:00Z</dcterms:created>
  <dcterms:modified xsi:type="dcterms:W3CDTF">2015-04-30T14:24:00Z</dcterms:modified>
</cp:coreProperties>
</file>