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6EA4" w14:textId="77777777" w:rsidR="000E6D52" w:rsidRPr="00CB4346" w:rsidRDefault="000E6D52" w:rsidP="00607A7E">
      <w:pPr>
        <w:shd w:val="clear" w:color="auto" w:fill="FFFFFF"/>
        <w:spacing w:after="0" w:line="480" w:lineRule="auto"/>
        <w:rPr>
          <w:rFonts w:ascii="Times" w:hAnsi="Times"/>
          <w:b/>
          <w:bCs/>
          <w:color w:val="222222"/>
          <w:u w:color="222222"/>
        </w:rPr>
      </w:pPr>
      <w:r w:rsidRPr="00CB4346">
        <w:rPr>
          <w:rFonts w:ascii="Times" w:hAnsi="Times"/>
          <w:b/>
          <w:bCs/>
          <w:color w:val="222222"/>
          <w:u w:color="222222"/>
        </w:rPr>
        <w:t>Method Pilot Study</w:t>
      </w:r>
    </w:p>
    <w:p w14:paraId="267C02CE" w14:textId="493DE429" w:rsidR="000E6D52" w:rsidRDefault="000E6D52" w:rsidP="00607A7E">
      <w:pPr>
        <w:spacing w:line="480" w:lineRule="auto"/>
        <w:ind w:firstLine="720"/>
        <w:rPr>
          <w:rFonts w:ascii="Times" w:hAnsi="Times"/>
          <w:color w:val="333333"/>
          <w:u w:color="333333"/>
        </w:rPr>
      </w:pPr>
      <w:r w:rsidRPr="00CB4346">
        <w:rPr>
          <w:rFonts w:ascii="Times" w:hAnsi="Times"/>
          <w:color w:val="333333"/>
          <w:u w:color="333333"/>
        </w:rPr>
        <w:t>Our questionnaire was programmed into the online platform Qualtrics and we collected data from</w:t>
      </w:r>
      <w:r w:rsidRPr="00607A7E">
        <w:rPr>
          <w:rFonts w:ascii="Times" w:hAnsi="Times"/>
          <w:b/>
          <w:color w:val="333333"/>
          <w:u w:color="333333"/>
        </w:rPr>
        <w:t xml:space="preserve"> </w:t>
      </w:r>
      <w:proofErr w:type="spellStart"/>
      <w:r w:rsidRPr="00607A7E">
        <w:rPr>
          <w:rFonts w:ascii="Times" w:hAnsi="Times"/>
          <w:b/>
          <w:color w:val="333333"/>
          <w:u w:color="333333"/>
        </w:rPr>
        <w:t>mTurk</w:t>
      </w:r>
      <w:proofErr w:type="spellEnd"/>
      <w:r w:rsidRPr="00607A7E">
        <w:rPr>
          <w:rFonts w:ascii="Times" w:hAnsi="Times"/>
          <w:b/>
          <w:color w:val="333333"/>
          <w:u w:color="333333"/>
        </w:rPr>
        <w:t xml:space="preserve"> </w:t>
      </w:r>
      <w:commentRangeStart w:id="0"/>
      <w:r w:rsidRPr="00607A7E">
        <w:rPr>
          <w:rFonts w:ascii="Times" w:hAnsi="Times"/>
          <w:b/>
          <w:color w:val="333333"/>
          <w:u w:color="333333"/>
        </w:rPr>
        <w:t>(N = 143)</w:t>
      </w:r>
      <w:commentRangeEnd w:id="0"/>
      <w:r w:rsidR="00BE0DEB">
        <w:rPr>
          <w:rStyle w:val="CommentReference"/>
          <w:rFonts w:ascii="Times New Roman" w:eastAsia="Times New Roman" w:hAnsi="Times New Roman" w:cs="Times New Roman"/>
          <w:color w:val="000000"/>
          <w:u w:color="000000"/>
          <w:bdr w:val="nil"/>
          <w:lang w:val="en-US" w:eastAsia="en-US"/>
        </w:rPr>
        <w:commentReference w:id="0"/>
      </w:r>
      <w:r w:rsidRPr="00CB4346">
        <w:rPr>
          <w:rFonts w:ascii="Times" w:hAnsi="Times"/>
          <w:color w:val="333333"/>
          <w:u w:color="333333"/>
        </w:rPr>
        <w:t xml:space="preserve"> and </w:t>
      </w:r>
      <w:r w:rsidRPr="00607A7E">
        <w:rPr>
          <w:rFonts w:ascii="Times" w:hAnsi="Times"/>
          <w:b/>
          <w:color w:val="333333"/>
          <w:u w:color="333333"/>
        </w:rPr>
        <w:t>Prolific Academic (N = 148)</w:t>
      </w:r>
      <w:r w:rsidRPr="00CB4346">
        <w:rPr>
          <w:rFonts w:ascii="Times" w:hAnsi="Times"/>
          <w:color w:val="333333"/>
          <w:u w:color="333333"/>
        </w:rPr>
        <w:t xml:space="preserve">. Participants </w:t>
      </w:r>
      <w:r>
        <w:rPr>
          <w:rFonts w:ascii="Times" w:hAnsi="Times"/>
          <w:color w:val="333333"/>
          <w:u w:color="333333"/>
        </w:rPr>
        <w:t xml:space="preserve">(all from US and UK; </w:t>
      </w:r>
      <w:r>
        <w:rPr>
          <w:rFonts w:ascii="Times" w:hAnsi="Times"/>
          <w:i/>
          <w:color w:val="333333"/>
          <w:u w:color="333333"/>
        </w:rPr>
        <w:t>M</w:t>
      </w:r>
      <w:r>
        <w:rPr>
          <w:rFonts w:ascii="Times" w:hAnsi="Times"/>
          <w:i/>
          <w:color w:val="333333"/>
          <w:u w:color="333333"/>
          <w:vertAlign w:val="subscript"/>
        </w:rPr>
        <w:t xml:space="preserve">age </w:t>
      </w:r>
      <w:r>
        <w:rPr>
          <w:rFonts w:ascii="Times" w:hAnsi="Times"/>
          <w:color w:val="333333"/>
          <w:u w:color="333333"/>
        </w:rPr>
        <w:t>= 49.45 (</w:t>
      </w:r>
      <w:proofErr w:type="spellStart"/>
      <w:r>
        <w:rPr>
          <w:rFonts w:ascii="Times" w:hAnsi="Times"/>
          <w:i/>
          <w:color w:val="333333"/>
          <w:u w:color="333333"/>
        </w:rPr>
        <w:t>SD</w:t>
      </w:r>
      <w:r>
        <w:rPr>
          <w:rFonts w:ascii="Times" w:hAnsi="Times"/>
          <w:i/>
          <w:color w:val="333333"/>
          <w:u w:color="333333"/>
          <w:vertAlign w:val="subscript"/>
        </w:rPr>
        <w:t>age</w:t>
      </w:r>
      <w:proofErr w:type="spellEnd"/>
      <w:r>
        <w:rPr>
          <w:rFonts w:ascii="Times" w:hAnsi="Times"/>
          <w:i/>
          <w:color w:val="333333"/>
          <w:u w:color="333333"/>
          <w:vertAlign w:val="subscript"/>
        </w:rPr>
        <w:t xml:space="preserve"> </w:t>
      </w:r>
      <w:r>
        <w:rPr>
          <w:rFonts w:ascii="Times" w:hAnsi="Times"/>
          <w:color w:val="333333"/>
          <w:u w:color="333333"/>
        </w:rPr>
        <w:t>= 7.01; 37.9% male, 61.3% female</w:t>
      </w:r>
      <w:proofErr w:type="gramStart"/>
      <w:r>
        <w:rPr>
          <w:rFonts w:ascii="Times" w:hAnsi="Times"/>
          <w:color w:val="333333"/>
          <w:u w:color="333333"/>
        </w:rPr>
        <w:t>)..</w:t>
      </w:r>
      <w:proofErr w:type="gramEnd"/>
    </w:p>
    <w:p w14:paraId="6666D1FB" w14:textId="0F5D45B8" w:rsidR="000E6D52" w:rsidRDefault="000E6D52" w:rsidP="000E6D52">
      <w:pPr>
        <w:spacing w:line="480" w:lineRule="auto"/>
        <w:rPr>
          <w:rFonts w:ascii="Times" w:hAnsi="Times"/>
          <w:color w:val="333333"/>
          <w:u w:color="333333"/>
        </w:rPr>
      </w:pPr>
      <w:r w:rsidRPr="00CB4346">
        <w:rPr>
          <w:rFonts w:ascii="Times" w:hAnsi="Times"/>
          <w:color w:val="333333"/>
          <w:u w:color="333333"/>
        </w:rPr>
        <w:t xml:space="preserve">Because the sample was relatively small, we </w:t>
      </w:r>
      <w:r w:rsidRPr="00607A7E">
        <w:rPr>
          <w:rFonts w:ascii="Times" w:hAnsi="Times"/>
          <w:b/>
          <w:color w:val="333333"/>
          <w:u w:color="333333"/>
        </w:rPr>
        <w:t>excluded</w:t>
      </w:r>
      <w:r w:rsidRPr="00CB4346">
        <w:rPr>
          <w:rFonts w:ascii="Times" w:hAnsi="Times"/>
          <w:color w:val="333333"/>
          <w:u w:color="333333"/>
        </w:rPr>
        <w:t xml:space="preserve"> all those participants that did not adhere to these guidelines</w:t>
      </w:r>
      <w:r w:rsidRPr="00607A7E">
        <w:rPr>
          <w:rFonts w:ascii="Times" w:hAnsi="Times"/>
          <w:b/>
          <w:color w:val="333333"/>
          <w:u w:color="333333"/>
        </w:rPr>
        <w:t xml:space="preserve"> (</w:t>
      </w:r>
      <w:proofErr w:type="spellStart"/>
      <w:r w:rsidRPr="00607A7E">
        <w:rPr>
          <w:rFonts w:ascii="Times" w:hAnsi="Times"/>
          <w:b/>
          <w:color w:val="333333"/>
          <w:u w:color="333333"/>
        </w:rPr>
        <w:t>mTurk</w:t>
      </w:r>
      <w:proofErr w:type="spellEnd"/>
      <w:r w:rsidRPr="00607A7E">
        <w:rPr>
          <w:rFonts w:ascii="Times" w:hAnsi="Times"/>
          <w:b/>
          <w:color w:val="333333"/>
          <w:u w:color="333333"/>
        </w:rPr>
        <w:t xml:space="preserve"> </w:t>
      </w:r>
      <w:r w:rsidRPr="00607A7E">
        <w:rPr>
          <w:rFonts w:ascii="Times" w:hAnsi="Times"/>
          <w:b/>
          <w:i/>
          <w:iCs/>
          <w:color w:val="333333"/>
          <w:u w:color="333333"/>
        </w:rPr>
        <w:t>N</w:t>
      </w:r>
      <w:r w:rsidRPr="00607A7E">
        <w:rPr>
          <w:rFonts w:ascii="Times" w:hAnsi="Times"/>
          <w:b/>
          <w:color w:val="333333"/>
          <w:u w:color="333333"/>
        </w:rPr>
        <w:t xml:space="preserve"> = 3; PA </w:t>
      </w:r>
      <w:r w:rsidRPr="00607A7E">
        <w:rPr>
          <w:rFonts w:ascii="Times" w:hAnsi="Times"/>
          <w:b/>
          <w:i/>
          <w:iCs/>
          <w:color w:val="333333"/>
          <w:u w:color="333333"/>
        </w:rPr>
        <w:t>N</w:t>
      </w:r>
      <w:r w:rsidRPr="00607A7E">
        <w:rPr>
          <w:rFonts w:ascii="Times" w:hAnsi="Times"/>
          <w:b/>
          <w:color w:val="333333"/>
          <w:u w:color="333333"/>
        </w:rPr>
        <w:t xml:space="preserve"> = 48)</w:t>
      </w:r>
      <w:r w:rsidRPr="00CB4346">
        <w:rPr>
          <w:rFonts w:ascii="Times" w:hAnsi="Times"/>
          <w:color w:val="333333"/>
          <w:u w:color="333333"/>
        </w:rPr>
        <w:t>.</w:t>
      </w:r>
      <w:r>
        <w:rPr>
          <w:rStyle w:val="FootnoteReference"/>
          <w:rFonts w:ascii="Times" w:hAnsi="Times"/>
          <w:color w:val="333333"/>
          <w:u w:color="333333"/>
        </w:rPr>
        <w:footnoteReference w:id="1"/>
      </w:r>
      <w:r w:rsidRPr="00CB4346">
        <w:rPr>
          <w:rFonts w:ascii="Times" w:hAnsi="Times"/>
          <w:color w:val="333333"/>
          <w:u w:color="333333"/>
        </w:rPr>
        <w:t xml:space="preserve"> The total remaining N for the pilot study was 240.</w:t>
      </w:r>
    </w:p>
    <w:p w14:paraId="08486569" w14:textId="5C671E25" w:rsidR="000E6D52" w:rsidRDefault="000E6D52" w:rsidP="000E6D52">
      <w:pPr>
        <w:spacing w:line="480" w:lineRule="auto"/>
      </w:pPr>
    </w:p>
    <w:p w14:paraId="7AFC69B3" w14:textId="58D22ED4" w:rsidR="000E6D52" w:rsidRDefault="000E6D52" w:rsidP="000E6D52">
      <w:pPr>
        <w:spacing w:line="480" w:lineRule="auto"/>
        <w:rPr>
          <w:rFonts w:ascii="Times" w:hAnsi="Times"/>
          <w:color w:val="333333"/>
          <w:u w:color="333333"/>
          <w:shd w:val="clear" w:color="auto" w:fill="FFFFFF"/>
        </w:rPr>
      </w:pPr>
      <w:r w:rsidRPr="00CB4346">
        <w:rPr>
          <w:rFonts w:ascii="Times" w:hAnsi="Times"/>
          <w:b/>
          <w:bCs/>
          <w:color w:val="333333"/>
          <w:u w:color="333333"/>
          <w:shd w:val="clear" w:color="auto" w:fill="FFFFFF"/>
        </w:rPr>
        <w:t>Survey details.</w:t>
      </w:r>
      <w:r>
        <w:rPr>
          <w:rFonts w:ascii="Times" w:hAnsi="Times"/>
          <w:b/>
          <w:bCs/>
          <w:color w:val="333333"/>
          <w:u w:color="333333"/>
          <w:shd w:val="clear" w:color="auto" w:fill="FFFFFF"/>
        </w:rPr>
        <w:t xml:space="preserve"> </w:t>
      </w:r>
      <w:r w:rsidRPr="00CB4346">
        <w:rPr>
          <w:rFonts w:ascii="Times" w:hAnsi="Times"/>
          <w:color w:val="333333"/>
          <w:u w:color="333333"/>
          <w:shd w:val="clear" w:color="auto" w:fill="FFFFFF"/>
        </w:rPr>
        <w:t xml:space="preserve">In order to assess the importance of complex social integration and distance from the equator, we measured known correlates of core body temperature or </w:t>
      </w:r>
      <w:proofErr w:type="spellStart"/>
      <w:r w:rsidRPr="00CB4346">
        <w:rPr>
          <w:rFonts w:ascii="Times" w:hAnsi="Times"/>
          <w:color w:val="333333"/>
          <w:u w:color="333333"/>
          <w:shd w:val="clear" w:color="auto" w:fill="FFFFFF"/>
        </w:rPr>
        <w:t>behavior</w:t>
      </w:r>
      <w:proofErr w:type="spellEnd"/>
      <w:r w:rsidRPr="00CB4346">
        <w:rPr>
          <w:rFonts w:ascii="Times" w:hAnsi="Times"/>
          <w:color w:val="333333"/>
          <w:u w:color="333333"/>
          <w:shd w:val="clear" w:color="auto" w:fill="FFFFFF"/>
        </w:rPr>
        <w:t xml:space="preserve"> in response to temperature fluctuations, like self-reported stress (“</w:t>
      </w:r>
      <w:r w:rsidRPr="00B105F6">
        <w:rPr>
          <w:rFonts w:ascii="Times" w:hAnsi="Times"/>
          <w:b/>
          <w:color w:val="333333"/>
          <w:u w:color="333333"/>
          <w:shd w:val="clear" w:color="auto" w:fill="FFFFFF"/>
        </w:rPr>
        <w:t>stress</w:t>
      </w:r>
      <w:r w:rsidRPr="00CB4346">
        <w:rPr>
          <w:rFonts w:ascii="Times" w:hAnsi="Times"/>
          <w:color w:val="333333"/>
          <w:u w:color="333333"/>
          <w:shd w:val="clear" w:color="auto" w:fill="FFFFFF"/>
        </w:rPr>
        <w:t xml:space="preserve">” in the forest plot; Cohen &amp; Wills, 1985), </w:t>
      </w:r>
      <w:r w:rsidRPr="00B105F6">
        <w:rPr>
          <w:rFonts w:ascii="Times" w:hAnsi="Times"/>
          <w:b/>
          <w:color w:val="333333"/>
          <w:u w:color="333333"/>
          <w:shd w:val="clear" w:color="auto" w:fill="FFFFFF"/>
        </w:rPr>
        <w:t>nostalgia</w:t>
      </w:r>
      <w:r w:rsidRPr="00CB4346">
        <w:rPr>
          <w:rFonts w:ascii="Times" w:hAnsi="Times"/>
          <w:color w:val="333333"/>
          <w:u w:color="333333"/>
          <w:shd w:val="clear" w:color="auto" w:fill="FFFFFF"/>
        </w:rPr>
        <w:t xml:space="preserve"> (“nostalgia”; Routledge et al., 2008), attachment to homes (“</w:t>
      </w:r>
      <w:proofErr w:type="spellStart"/>
      <w:r w:rsidRPr="00CB4346">
        <w:rPr>
          <w:rFonts w:ascii="Times" w:hAnsi="Times"/>
          <w:color w:val="333333"/>
          <w:u w:color="333333"/>
          <w:shd w:val="clear" w:color="auto" w:fill="FFFFFF"/>
        </w:rPr>
        <w:t>attachhome</w:t>
      </w:r>
      <w:proofErr w:type="spellEnd"/>
      <w:r w:rsidRPr="00CB4346">
        <w:rPr>
          <w:rFonts w:ascii="Times" w:hAnsi="Times"/>
          <w:color w:val="333333"/>
          <w:u w:color="333333"/>
          <w:shd w:val="clear" w:color="auto" w:fill="FFFFFF"/>
        </w:rPr>
        <w:t xml:space="preserve">”; Harris et al., 1996), daily sugary drinks </w:t>
      </w:r>
      <w:commentRangeStart w:id="2"/>
      <w:r w:rsidRPr="00CB4346">
        <w:rPr>
          <w:rFonts w:ascii="Times" w:hAnsi="Times"/>
          <w:color w:val="333333"/>
          <w:u w:color="333333"/>
          <w:shd w:val="clear" w:color="auto" w:fill="FFFFFF"/>
        </w:rPr>
        <w:t>consumption</w:t>
      </w:r>
      <w:commentRangeEnd w:id="2"/>
      <w:r>
        <w:rPr>
          <w:rStyle w:val="CommentReference"/>
        </w:rPr>
        <w:commentReference w:id="2"/>
      </w:r>
      <w:r w:rsidRPr="00CB4346">
        <w:rPr>
          <w:rFonts w:ascii="Times" w:hAnsi="Times"/>
          <w:color w:val="333333"/>
          <w:u w:color="333333"/>
          <w:shd w:val="clear" w:color="auto" w:fill="FFFFFF"/>
        </w:rPr>
        <w:t xml:space="preserve"> (“</w:t>
      </w:r>
      <w:proofErr w:type="spellStart"/>
      <w:r w:rsidRPr="00B105F6">
        <w:rPr>
          <w:rFonts w:ascii="Times" w:hAnsi="Times"/>
          <w:b/>
          <w:color w:val="333333"/>
          <w:u w:color="333333"/>
          <w:shd w:val="clear" w:color="auto" w:fill="FFFFFF"/>
        </w:rPr>
        <w:t>gluctot</w:t>
      </w:r>
      <w:proofErr w:type="spellEnd"/>
      <w:r w:rsidRPr="00CB4346">
        <w:rPr>
          <w:rFonts w:ascii="Times" w:hAnsi="Times"/>
          <w:color w:val="333333"/>
          <w:u w:color="333333"/>
          <w:shd w:val="clear" w:color="auto" w:fill="FFFFFF"/>
        </w:rPr>
        <w:t>”; Henriksen et al., 2014) and diet drinks consumption (“</w:t>
      </w:r>
      <w:proofErr w:type="spellStart"/>
      <w:r w:rsidRPr="00B105F6">
        <w:rPr>
          <w:rFonts w:ascii="Times" w:hAnsi="Times"/>
          <w:b/>
          <w:color w:val="333333"/>
          <w:u w:color="333333"/>
          <w:shd w:val="clear" w:color="auto" w:fill="FFFFFF"/>
        </w:rPr>
        <w:t>artgluctot</w:t>
      </w:r>
      <w:proofErr w:type="spellEnd"/>
      <w:r w:rsidRPr="00CB4346">
        <w:rPr>
          <w:rFonts w:ascii="Times" w:hAnsi="Times"/>
          <w:color w:val="333333"/>
          <w:u w:color="333333"/>
          <w:shd w:val="clear" w:color="auto" w:fill="FFFFFF"/>
        </w:rPr>
        <w:t>”; Henriksen et al., 2014), known benchmarks of core body temperature, like sex (“sex”), height (“height”), weight (“</w:t>
      </w:r>
      <w:proofErr w:type="spellStart"/>
      <w:r w:rsidRPr="00B105F6">
        <w:rPr>
          <w:rFonts w:ascii="Times" w:hAnsi="Times"/>
          <w:b/>
          <w:color w:val="333333"/>
          <w:u w:color="333333"/>
          <w:shd w:val="clear" w:color="auto" w:fill="FFFFFF"/>
        </w:rPr>
        <w:t>weightkg</w:t>
      </w:r>
      <w:proofErr w:type="spellEnd"/>
      <w:r w:rsidRPr="00CB4346">
        <w:rPr>
          <w:rFonts w:ascii="Times" w:hAnsi="Times"/>
          <w:color w:val="333333"/>
          <w:u w:color="333333"/>
          <w:shd w:val="clear" w:color="auto" w:fill="FFFFFF"/>
        </w:rPr>
        <w:t xml:space="preserve">”), and whether they used medication (“meds”; </w:t>
      </w:r>
      <w:r w:rsidRPr="00CB4346">
        <w:rPr>
          <w:rFonts w:ascii="Times" w:hAnsi="Times"/>
        </w:rPr>
        <w:t xml:space="preserve">Hills &amp; </w:t>
      </w:r>
      <w:proofErr w:type="spellStart"/>
      <w:r w:rsidRPr="00CB4346">
        <w:rPr>
          <w:rFonts w:ascii="Times" w:hAnsi="Times"/>
        </w:rPr>
        <w:t>Rahimtulla</w:t>
      </w:r>
      <w:proofErr w:type="spellEnd"/>
      <w:r w:rsidRPr="00CB4346">
        <w:rPr>
          <w:rFonts w:ascii="Times" w:hAnsi="Times"/>
        </w:rPr>
        <w:t>, 1965; Peters, 1986</w:t>
      </w:r>
      <w:r w:rsidRPr="00CB4346">
        <w:rPr>
          <w:rFonts w:ascii="Times" w:hAnsi="Times"/>
          <w:color w:val="333333"/>
          <w:u w:color="333333"/>
          <w:shd w:val="clear" w:color="auto" w:fill="FFFFFF"/>
        </w:rPr>
        <w:t>).</w:t>
      </w:r>
    </w:p>
    <w:p w14:paraId="55AD9D67" w14:textId="77777777" w:rsidR="000E6D52" w:rsidRPr="00290CBE" w:rsidRDefault="000E6D52" w:rsidP="000E6D52">
      <w:pPr>
        <w:pStyle w:val="Normal1"/>
        <w:spacing w:after="0" w:line="480" w:lineRule="auto"/>
        <w:ind w:firstLine="720"/>
        <w:rPr>
          <w:rFonts w:ascii="Times" w:hAnsi="Times"/>
          <w:color w:val="333333"/>
          <w:sz w:val="24"/>
          <w:szCs w:val="24"/>
          <w:u w:color="333333"/>
        </w:rPr>
      </w:pPr>
      <w:r w:rsidRPr="00C957BC">
        <w:rPr>
          <w:rFonts w:ascii="Times" w:hAnsi="Times"/>
          <w:color w:val="333333"/>
          <w:sz w:val="24"/>
          <w:szCs w:val="24"/>
          <w:u w:color="333333"/>
          <w:shd w:val="clear" w:color="auto" w:fill="FFFFFF"/>
        </w:rPr>
        <w:t>We also included variables that potentially influence core body temperature and quality of the social network in other ways, like feelings of agency, measured through self-control (“</w:t>
      </w:r>
      <w:proofErr w:type="spellStart"/>
      <w:r w:rsidRPr="00C957BC">
        <w:rPr>
          <w:rFonts w:ascii="Times" w:hAnsi="Times"/>
          <w:color w:val="333333"/>
          <w:sz w:val="24"/>
          <w:szCs w:val="24"/>
          <w:u w:color="333333"/>
          <w:shd w:val="clear" w:color="auto" w:fill="FFFFFF"/>
        </w:rPr>
        <w:t>selfcontrol</w:t>
      </w:r>
      <w:proofErr w:type="spellEnd"/>
      <w:r w:rsidRPr="00C957BC">
        <w:rPr>
          <w:rFonts w:ascii="Times" w:hAnsi="Times"/>
          <w:color w:val="333333"/>
          <w:sz w:val="24"/>
          <w:szCs w:val="24"/>
          <w:u w:color="333333"/>
          <w:shd w:val="clear" w:color="auto" w:fill="FFFFFF"/>
        </w:rPr>
        <w:t xml:space="preserve">”; Tangney et al., 2004), attachment (“avoidance” and “anxiety”; Fraley et al., 2000), and access to one’s own feelings and bodily states (alexithymia subscales “EOT” and “DIDF”; </w:t>
      </w:r>
      <w:proofErr w:type="spellStart"/>
      <w:r w:rsidRPr="00C957BC">
        <w:rPr>
          <w:rFonts w:ascii="Times" w:hAnsi="Times"/>
          <w:color w:val="333333"/>
          <w:sz w:val="24"/>
          <w:szCs w:val="24"/>
          <w:u w:color="333333"/>
          <w:shd w:val="clear" w:color="auto" w:fill="FFFFFF"/>
        </w:rPr>
        <w:t>Kooiman</w:t>
      </w:r>
      <w:proofErr w:type="spellEnd"/>
      <w:r w:rsidRPr="00C957BC">
        <w:rPr>
          <w:rFonts w:ascii="Times" w:hAnsi="Times"/>
          <w:color w:val="333333"/>
          <w:sz w:val="24"/>
          <w:szCs w:val="24"/>
          <w:u w:color="333333"/>
          <w:shd w:val="clear" w:color="auto" w:fill="FFFFFF"/>
        </w:rPr>
        <w:t xml:space="preserve"> et al., 2002). </w:t>
      </w:r>
      <w:r w:rsidRPr="00290CBE">
        <w:rPr>
          <w:rFonts w:ascii="Times" w:hAnsi="Times"/>
          <w:color w:val="333333"/>
          <w:sz w:val="24"/>
          <w:szCs w:val="24"/>
          <w:u w:color="333333"/>
          <w:shd w:val="clear" w:color="auto" w:fill="FFFFFF"/>
        </w:rPr>
        <w:t>Importantly, we included measures on people’s social networks (“</w:t>
      </w:r>
      <w:proofErr w:type="spellStart"/>
      <w:r w:rsidRPr="00290CBE">
        <w:rPr>
          <w:rFonts w:ascii="Times" w:hAnsi="Times"/>
          <w:color w:val="333333"/>
          <w:sz w:val="24"/>
          <w:szCs w:val="24"/>
          <w:u w:color="333333"/>
          <w:shd w:val="clear" w:color="auto" w:fill="FFFFFF"/>
        </w:rPr>
        <w:t>networksize</w:t>
      </w:r>
      <w:proofErr w:type="spellEnd"/>
      <w:r w:rsidRPr="00290CBE">
        <w:rPr>
          <w:rFonts w:ascii="Times" w:hAnsi="Times"/>
          <w:color w:val="333333"/>
          <w:sz w:val="24"/>
          <w:szCs w:val="24"/>
          <w:u w:color="333333"/>
          <w:shd w:val="clear" w:color="auto" w:fill="FFFFFF"/>
        </w:rPr>
        <w:t>”, “</w:t>
      </w:r>
      <w:proofErr w:type="spellStart"/>
      <w:r w:rsidRPr="00290CBE">
        <w:rPr>
          <w:rFonts w:ascii="Times" w:hAnsi="Times"/>
          <w:color w:val="333333"/>
          <w:sz w:val="24"/>
          <w:szCs w:val="24"/>
          <w:u w:color="333333"/>
          <w:shd w:val="clear" w:color="auto" w:fill="FFFFFF"/>
        </w:rPr>
        <w:t>socialembedded</w:t>
      </w:r>
      <w:proofErr w:type="spellEnd"/>
      <w:r w:rsidRPr="00290CBE">
        <w:rPr>
          <w:rFonts w:ascii="Times" w:hAnsi="Times"/>
          <w:color w:val="333333"/>
          <w:sz w:val="24"/>
          <w:szCs w:val="24"/>
          <w:u w:color="333333"/>
          <w:shd w:val="clear" w:color="auto" w:fill="FFFFFF"/>
        </w:rPr>
        <w:t xml:space="preserve">”, </w:t>
      </w:r>
      <w:r w:rsidRPr="00FE7F12">
        <w:rPr>
          <w:rFonts w:ascii="Times" w:hAnsi="Times"/>
          <w:color w:val="333333"/>
          <w:sz w:val="24"/>
          <w:szCs w:val="24"/>
          <w:u w:color="333333"/>
          <w:shd w:val="clear" w:color="auto" w:fill="FFFFFF"/>
        </w:rPr>
        <w:lastRenderedPageBreak/>
        <w:t xml:space="preserve">and a measure on complex social integration, “CSI”; Cohen et al., 1997). </w:t>
      </w:r>
      <w:r w:rsidRPr="00FE7F12">
        <w:rPr>
          <w:rFonts w:ascii="Times" w:hAnsi="Times"/>
          <w:sz w:val="24"/>
          <w:szCs w:val="24"/>
        </w:rPr>
        <w:t>CSI includes an inventory of the following ties: Relationships with spouse, parents, parents-in-law, children, ot</w:t>
      </w:r>
      <w:r w:rsidRPr="009C706D">
        <w:rPr>
          <w:rFonts w:ascii="Times" w:hAnsi="Times"/>
          <w:sz w:val="24"/>
          <w:szCs w:val="24"/>
        </w:rPr>
        <w:t>her close family members, neighbors, friends, workmates, schoolmates, fellow volunteers (e.g., charity or community work), members of groups without religious affiliations (e.g., social, recreational, professional), and members of religious groups. One poi</w:t>
      </w:r>
      <w:r w:rsidRPr="00290CBE">
        <w:rPr>
          <w:rFonts w:ascii="Times" w:hAnsi="Times"/>
          <w:sz w:val="24"/>
          <w:szCs w:val="24"/>
        </w:rPr>
        <w:t>nt was assigned for participation in each kind of relationship for which respondents reported that they spoke (in person or on the phone) to someone in that relationship at least once every 2</w:t>
      </w:r>
      <w:r w:rsidRPr="00CB4346">
        <w:rPr>
          <w:rFonts w:ascii="Times" w:hAnsi="Times"/>
          <w:sz w:val="24"/>
          <w:szCs w:val="24"/>
        </w:rPr>
        <w:t xml:space="preserve"> weeks</w:t>
      </w:r>
      <w:r w:rsidRPr="00290CBE">
        <w:rPr>
          <w:rFonts w:ascii="Times" w:hAnsi="Times"/>
          <w:sz w:val="24"/>
          <w:szCs w:val="24"/>
        </w:rPr>
        <w:t xml:space="preserve">. </w:t>
      </w:r>
      <w:r w:rsidRPr="00C957BC">
        <w:rPr>
          <w:rFonts w:ascii="Times" w:hAnsi="Times"/>
          <w:color w:val="333333"/>
          <w:sz w:val="24"/>
          <w:szCs w:val="24"/>
          <w:u w:color="333333"/>
        </w:rPr>
        <w:t>At the end of the survey, participants were thanked for their participation</w:t>
      </w:r>
      <w:r>
        <w:rPr>
          <w:rFonts w:ascii="Times" w:hAnsi="Times"/>
          <w:color w:val="333333"/>
          <w:sz w:val="24"/>
          <w:szCs w:val="24"/>
          <w:u w:color="333333"/>
        </w:rPr>
        <w:t xml:space="preserve"> and debriefed</w:t>
      </w:r>
      <w:r w:rsidRPr="00C957BC">
        <w:rPr>
          <w:rFonts w:ascii="Times" w:hAnsi="Times"/>
          <w:color w:val="333333"/>
          <w:sz w:val="24"/>
          <w:szCs w:val="24"/>
          <w:u w:color="333333"/>
        </w:rPr>
        <w:t>.</w:t>
      </w:r>
    </w:p>
    <w:p w14:paraId="3470401B" w14:textId="77777777" w:rsidR="000E6D52" w:rsidRPr="00CB4346" w:rsidRDefault="000E6D52" w:rsidP="000E6D52">
      <w:pPr>
        <w:shd w:val="clear" w:color="auto" w:fill="FFFFFF"/>
        <w:spacing w:after="0" w:line="480" w:lineRule="auto"/>
        <w:ind w:firstLine="720"/>
        <w:rPr>
          <w:rFonts w:ascii="Times" w:eastAsia="Times" w:hAnsi="Times" w:cs="Times"/>
          <w:color w:val="333333"/>
          <w:u w:color="333333"/>
        </w:rPr>
      </w:pPr>
      <w:r w:rsidRPr="00CB4346">
        <w:rPr>
          <w:rFonts w:ascii="Times" w:hAnsi="Times"/>
          <w:color w:val="333333"/>
          <w:u w:color="333333"/>
          <w:shd w:val="clear" w:color="auto" w:fill="FFFFFF"/>
        </w:rPr>
        <w:t>The complete scales, reliabilities, and averages per scale per site can be accessed on our project page. Finally, we looked up the minimum temperature (“</w:t>
      </w:r>
      <w:proofErr w:type="spellStart"/>
      <w:r w:rsidRPr="00CB4346">
        <w:rPr>
          <w:rFonts w:ascii="Times" w:hAnsi="Times"/>
          <w:color w:val="333333"/>
          <w:u w:color="333333"/>
          <w:shd w:val="clear" w:color="auto" w:fill="FFFFFF"/>
        </w:rPr>
        <w:t>mintemp</w:t>
      </w:r>
      <w:proofErr w:type="spellEnd"/>
      <w:r w:rsidRPr="00CB4346">
        <w:rPr>
          <w:rFonts w:ascii="Times" w:hAnsi="Times"/>
          <w:color w:val="333333"/>
          <w:u w:color="333333"/>
          <w:shd w:val="clear" w:color="auto" w:fill="FFFFFF"/>
        </w:rPr>
        <w:t>”) and average humidity of the day (“</w:t>
      </w:r>
      <w:proofErr w:type="spellStart"/>
      <w:r w:rsidRPr="00CB4346">
        <w:rPr>
          <w:rFonts w:ascii="Times" w:hAnsi="Times"/>
          <w:color w:val="333333"/>
          <w:u w:color="333333"/>
          <w:shd w:val="clear" w:color="auto" w:fill="FFFFFF"/>
        </w:rPr>
        <w:t>avghumidity</w:t>
      </w:r>
      <w:proofErr w:type="spellEnd"/>
      <w:r w:rsidRPr="00CB4346">
        <w:rPr>
          <w:rFonts w:ascii="Times" w:hAnsi="Times"/>
          <w:color w:val="333333"/>
          <w:u w:color="333333"/>
          <w:shd w:val="clear" w:color="auto" w:fill="FFFFFF"/>
        </w:rPr>
        <w:t>”) participants completed the survey based on their IP address by using a </w:t>
      </w:r>
      <w:r w:rsidRPr="00CB4346">
        <w:rPr>
          <w:rFonts w:ascii="Times" w:hAnsi="Times"/>
        </w:rPr>
        <w:t>weather history site</w:t>
      </w:r>
      <w:r w:rsidRPr="00CB4346">
        <w:rPr>
          <w:rFonts w:ascii="Times" w:hAnsi="Times"/>
          <w:shd w:val="clear" w:color="auto" w:fill="FFFFFF"/>
        </w:rPr>
        <w:t xml:space="preserve"> (</w:t>
      </w:r>
      <w:r w:rsidRPr="00CB4346">
        <w:rPr>
          <w:rFonts w:ascii="Times" w:hAnsi="Times"/>
        </w:rPr>
        <w:t>http://www.wunderground.com/history/)</w:t>
      </w:r>
      <w:r w:rsidRPr="00CB4346">
        <w:rPr>
          <w:rFonts w:ascii="Times" w:hAnsi="Times"/>
          <w:color w:val="333333"/>
          <w:u w:color="333333"/>
          <w:shd w:val="clear" w:color="auto" w:fill="FFFFFF"/>
        </w:rPr>
        <w:t>, which bases weather on the nearest airport.</w:t>
      </w:r>
      <w:r w:rsidRPr="00CB4346">
        <w:rPr>
          <w:rFonts w:ascii="Times" w:hAnsi="Times"/>
          <w:color w:val="333333"/>
          <w:u w:color="333333"/>
        </w:rPr>
        <w:t xml:space="preserve"> </w:t>
      </w:r>
    </w:p>
    <w:p w14:paraId="125B5A8D" w14:textId="07233733" w:rsidR="000E6D52" w:rsidRDefault="000E6D52" w:rsidP="000E6D52">
      <w:pPr>
        <w:spacing w:line="480" w:lineRule="auto"/>
      </w:pPr>
    </w:p>
    <w:p w14:paraId="1C20A3C0" w14:textId="77777777" w:rsidR="000E6D52" w:rsidRPr="00CB4346" w:rsidRDefault="000E6D52" w:rsidP="000E6D52">
      <w:pPr>
        <w:shd w:val="clear" w:color="auto" w:fill="FFFFFF"/>
        <w:spacing w:after="0" w:line="480" w:lineRule="auto"/>
        <w:jc w:val="center"/>
        <w:rPr>
          <w:rFonts w:ascii="Times" w:eastAsia="Times" w:hAnsi="Times" w:cs="Times"/>
          <w:b/>
          <w:bCs/>
          <w:color w:val="222222"/>
          <w:u w:color="222222"/>
        </w:rPr>
      </w:pPr>
      <w:r w:rsidRPr="00CB4346">
        <w:rPr>
          <w:rFonts w:ascii="Times" w:hAnsi="Times"/>
          <w:b/>
          <w:bCs/>
          <w:color w:val="222222"/>
          <w:u w:color="222222"/>
        </w:rPr>
        <w:t>Method Cross-National Study</w:t>
      </w:r>
    </w:p>
    <w:p w14:paraId="2B36BCAA" w14:textId="77777777" w:rsidR="000E6D52" w:rsidRPr="00CB4346" w:rsidRDefault="000E6D52" w:rsidP="000E6D52">
      <w:pPr>
        <w:shd w:val="clear" w:color="auto" w:fill="FFFFFF"/>
        <w:spacing w:after="0" w:line="480" w:lineRule="auto"/>
        <w:ind w:firstLine="720"/>
        <w:rPr>
          <w:rFonts w:ascii="Times" w:hAnsi="Times"/>
        </w:rPr>
      </w:pPr>
      <w:r w:rsidRPr="00CB4346">
        <w:rPr>
          <w:rFonts w:ascii="Times" w:hAnsi="Times"/>
          <w:b/>
          <w:bCs/>
          <w:color w:val="222222"/>
          <w:u w:color="222222"/>
        </w:rPr>
        <w:t xml:space="preserve">Samples. </w:t>
      </w:r>
      <w:r w:rsidRPr="00CB4346">
        <w:rPr>
          <w:rFonts w:ascii="Times" w:hAnsi="Times"/>
          <w:color w:val="222222"/>
          <w:u w:color="222222"/>
        </w:rPr>
        <w:t xml:space="preserve">We collected data via University of Oxford (UK; </w:t>
      </w:r>
      <w:r w:rsidRPr="00CB4346">
        <w:rPr>
          <w:rFonts w:ascii="Times" w:hAnsi="Times"/>
          <w:i/>
          <w:iCs/>
          <w:color w:val="222222"/>
          <w:u w:color="222222"/>
        </w:rPr>
        <w:t xml:space="preserve">N </w:t>
      </w:r>
      <w:r w:rsidRPr="00CB4346">
        <w:rPr>
          <w:rFonts w:ascii="Times" w:hAnsi="Times"/>
          <w:color w:val="222222"/>
          <w:u w:color="222222"/>
        </w:rPr>
        <w:t xml:space="preserve">= 137, 56.2%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1985.43;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13.51), University of Belgrade (Serbia; </w:t>
      </w:r>
      <w:r w:rsidRPr="00CB4346">
        <w:rPr>
          <w:rFonts w:ascii="Times" w:hAnsi="Times"/>
          <w:i/>
          <w:iCs/>
          <w:color w:val="222222"/>
          <w:u w:color="222222"/>
        </w:rPr>
        <w:t xml:space="preserve">N </w:t>
      </w:r>
      <w:r w:rsidRPr="00CB4346">
        <w:rPr>
          <w:rFonts w:ascii="Times" w:hAnsi="Times"/>
          <w:color w:val="222222"/>
          <w:u w:color="222222"/>
        </w:rPr>
        <w:t xml:space="preserve">= 164, 80.5%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1993.73;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4.91), Singapore Management University (</w:t>
      </w:r>
      <w:r w:rsidRPr="00CB4346">
        <w:rPr>
          <w:rFonts w:ascii="Times" w:hAnsi="Times"/>
          <w:i/>
          <w:iCs/>
          <w:color w:val="222222"/>
          <w:u w:color="222222"/>
        </w:rPr>
        <w:t xml:space="preserve">N </w:t>
      </w:r>
      <w:r w:rsidRPr="00CB4346">
        <w:rPr>
          <w:rFonts w:ascii="Times" w:hAnsi="Times"/>
          <w:color w:val="222222"/>
          <w:u w:color="222222"/>
        </w:rPr>
        <w:t xml:space="preserve">= 135, 56.2%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1993.80;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1.54), Tsinghua University (China; </w:t>
      </w:r>
      <w:r w:rsidRPr="00CB4346">
        <w:rPr>
          <w:rFonts w:ascii="Times" w:hAnsi="Times"/>
          <w:i/>
          <w:iCs/>
          <w:color w:val="222222"/>
          <w:u w:color="222222"/>
        </w:rPr>
        <w:t xml:space="preserve">N </w:t>
      </w:r>
      <w:r w:rsidRPr="00CB4346">
        <w:rPr>
          <w:rFonts w:ascii="Times" w:hAnsi="Times"/>
          <w:color w:val="222222"/>
          <w:u w:color="222222"/>
        </w:rPr>
        <w:t xml:space="preserve">= 174, 62.2%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1993.68;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6.41), University of Zürich (Switzerland; </w:t>
      </w:r>
      <w:r w:rsidRPr="00CB4346">
        <w:rPr>
          <w:rFonts w:ascii="Times" w:hAnsi="Times"/>
          <w:i/>
          <w:iCs/>
          <w:color w:val="222222"/>
          <w:u w:color="222222"/>
        </w:rPr>
        <w:t xml:space="preserve">N </w:t>
      </w:r>
      <w:r w:rsidRPr="00CB4346">
        <w:rPr>
          <w:rFonts w:ascii="Times" w:hAnsi="Times"/>
          <w:color w:val="222222"/>
          <w:u w:color="222222"/>
        </w:rPr>
        <w:t xml:space="preserve">= 37, 72.5%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1987.57;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8.72), Virginia Commonwealth University (United States; </w:t>
      </w:r>
      <w:r w:rsidRPr="00CB4346">
        <w:rPr>
          <w:rFonts w:ascii="Times" w:hAnsi="Times"/>
          <w:i/>
          <w:iCs/>
          <w:color w:val="222222"/>
          <w:u w:color="222222"/>
        </w:rPr>
        <w:t xml:space="preserve">N </w:t>
      </w:r>
      <w:r w:rsidRPr="00CB4346">
        <w:rPr>
          <w:rFonts w:ascii="Times" w:hAnsi="Times"/>
          <w:color w:val="222222"/>
          <w:u w:color="222222"/>
        </w:rPr>
        <w:t xml:space="preserve">= 150, 78.8%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1992.62;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4.70), University of Kassel (Germany; </w:t>
      </w:r>
      <w:r w:rsidRPr="00CB4346">
        <w:rPr>
          <w:rFonts w:ascii="Times" w:hAnsi="Times"/>
          <w:i/>
          <w:iCs/>
          <w:color w:val="222222"/>
          <w:u w:color="222222"/>
        </w:rPr>
        <w:t xml:space="preserve">N </w:t>
      </w:r>
      <w:r w:rsidRPr="00CB4346">
        <w:rPr>
          <w:rFonts w:ascii="Times" w:hAnsi="Times"/>
          <w:color w:val="222222"/>
          <w:u w:color="222222"/>
        </w:rPr>
        <w:t xml:space="preserve">= 105, 69.8%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1990.31;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7.82), University of California, Santa Barbara (United States; </w:t>
      </w:r>
      <w:r w:rsidRPr="00CB4346">
        <w:rPr>
          <w:rFonts w:ascii="Times" w:hAnsi="Times"/>
          <w:i/>
          <w:iCs/>
          <w:color w:val="222222"/>
          <w:u w:color="222222"/>
        </w:rPr>
        <w:t xml:space="preserve">N </w:t>
      </w:r>
      <w:r w:rsidRPr="00CB4346">
        <w:rPr>
          <w:rFonts w:ascii="Times" w:hAnsi="Times"/>
          <w:color w:val="222222"/>
          <w:u w:color="222222"/>
        </w:rPr>
        <w:t xml:space="preserve">= 108, 63.8%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1995.82;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1.71), University of </w:t>
      </w:r>
      <w:proofErr w:type="spellStart"/>
      <w:r w:rsidRPr="00CB4346">
        <w:rPr>
          <w:rFonts w:ascii="Times" w:hAnsi="Times"/>
          <w:color w:val="222222"/>
          <w:u w:color="222222"/>
        </w:rPr>
        <w:t>Lusófona</w:t>
      </w:r>
      <w:proofErr w:type="spellEnd"/>
      <w:r w:rsidRPr="00CB4346">
        <w:rPr>
          <w:rFonts w:ascii="Times" w:hAnsi="Times"/>
          <w:color w:val="222222"/>
          <w:u w:color="222222"/>
        </w:rPr>
        <w:t xml:space="preserve"> (Portugal; </w:t>
      </w:r>
      <w:r w:rsidRPr="00CB4346">
        <w:rPr>
          <w:rFonts w:ascii="Times" w:hAnsi="Times"/>
          <w:i/>
          <w:iCs/>
          <w:color w:val="222222"/>
          <w:u w:color="222222"/>
        </w:rPr>
        <w:t xml:space="preserve">N </w:t>
      </w:r>
      <w:r w:rsidRPr="00CB4346">
        <w:rPr>
          <w:rFonts w:ascii="Times" w:hAnsi="Times"/>
          <w:color w:val="222222"/>
          <w:u w:color="222222"/>
        </w:rPr>
        <w:t xml:space="preserve">= 18, 33.3%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1984.12;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lastRenderedPageBreak/>
        <w:t xml:space="preserve">= 11.92), University of Chile (Chile; </w:t>
      </w:r>
      <w:r w:rsidRPr="00CB4346">
        <w:rPr>
          <w:rFonts w:ascii="Times" w:hAnsi="Times"/>
          <w:i/>
          <w:iCs/>
          <w:color w:val="222222"/>
          <w:u w:color="222222"/>
        </w:rPr>
        <w:t xml:space="preserve">N </w:t>
      </w:r>
      <w:r w:rsidRPr="00CB4346">
        <w:rPr>
          <w:rFonts w:ascii="Times" w:hAnsi="Times"/>
          <w:color w:val="222222"/>
          <w:u w:color="222222"/>
        </w:rPr>
        <w:t xml:space="preserve">= 34, 62.9%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1979.33;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13.16), University of Southampton (United Kingdom; </w:t>
      </w:r>
      <w:r w:rsidRPr="00CB4346">
        <w:rPr>
          <w:rFonts w:ascii="Times" w:hAnsi="Times"/>
          <w:i/>
          <w:iCs/>
          <w:color w:val="222222"/>
          <w:u w:color="222222"/>
        </w:rPr>
        <w:t xml:space="preserve">N </w:t>
      </w:r>
      <w:r w:rsidRPr="00CB4346">
        <w:rPr>
          <w:rFonts w:ascii="Times" w:hAnsi="Times"/>
          <w:color w:val="222222"/>
          <w:u w:color="222222"/>
        </w:rPr>
        <w:t xml:space="preserve">= 6, 50.0%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1992.17;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1.60), Otto-Friedrichs-Universität Bamberg (Germany; </w:t>
      </w:r>
      <w:r w:rsidRPr="00CB4346">
        <w:rPr>
          <w:rFonts w:ascii="Times" w:hAnsi="Times"/>
          <w:i/>
          <w:iCs/>
          <w:color w:val="222222"/>
          <w:u w:color="222222"/>
        </w:rPr>
        <w:t xml:space="preserve">N </w:t>
      </w:r>
      <w:r w:rsidRPr="00CB4346">
        <w:rPr>
          <w:rFonts w:ascii="Times" w:hAnsi="Times"/>
          <w:color w:val="222222"/>
          <w:u w:color="222222"/>
        </w:rPr>
        <w:t xml:space="preserve">= 40, 69.0%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1982.11;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14.67), Middle East Technical University (Turkey; </w:t>
      </w:r>
      <w:r w:rsidRPr="00CB4346">
        <w:rPr>
          <w:rFonts w:ascii="Times" w:hAnsi="Times"/>
          <w:i/>
          <w:iCs/>
          <w:color w:val="222222"/>
          <w:u w:color="222222"/>
        </w:rPr>
        <w:t xml:space="preserve">N </w:t>
      </w:r>
      <w:r w:rsidRPr="00CB4346">
        <w:rPr>
          <w:rFonts w:ascii="Times" w:hAnsi="Times"/>
          <w:color w:val="222222"/>
          <w:u w:color="222222"/>
        </w:rPr>
        <w:t xml:space="preserve">= 181, 65.7%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1992.42;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5.00), University of Oslo (Norway; </w:t>
      </w:r>
      <w:r w:rsidRPr="00CB4346">
        <w:rPr>
          <w:rFonts w:ascii="Times" w:hAnsi="Times"/>
          <w:i/>
          <w:iCs/>
          <w:color w:val="222222"/>
          <w:u w:color="222222"/>
        </w:rPr>
        <w:t xml:space="preserve">N </w:t>
      </w:r>
      <w:r w:rsidRPr="00CB4346">
        <w:rPr>
          <w:rFonts w:ascii="Times" w:hAnsi="Times"/>
          <w:color w:val="222222"/>
          <w:u w:color="222222"/>
        </w:rPr>
        <w:t xml:space="preserve">= 85, 69.4%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1992.31;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6.42), and SWPS University of Social Sciences and Humanities (Poland; </w:t>
      </w:r>
      <w:r w:rsidRPr="00CB4346">
        <w:rPr>
          <w:rFonts w:ascii="Times" w:hAnsi="Times"/>
          <w:i/>
          <w:iCs/>
          <w:color w:val="222222"/>
          <w:u w:color="222222"/>
        </w:rPr>
        <w:t xml:space="preserve">N </w:t>
      </w:r>
      <w:r w:rsidRPr="00CB4346">
        <w:rPr>
          <w:rFonts w:ascii="Times" w:hAnsi="Times"/>
          <w:color w:val="222222"/>
          <w:u w:color="222222"/>
        </w:rPr>
        <w:t xml:space="preserve">= 133, 86.6%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1986.18;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8.89). Our total sample (after data exclusions) consisted of </w:t>
      </w:r>
      <w:r w:rsidRPr="00CB4346">
        <w:rPr>
          <w:rFonts w:ascii="Times" w:hAnsi="Times"/>
          <w:i/>
          <w:iCs/>
          <w:color w:val="222222"/>
          <w:u w:color="222222"/>
        </w:rPr>
        <w:t xml:space="preserve">N </w:t>
      </w:r>
      <w:r w:rsidRPr="00CB4346">
        <w:rPr>
          <w:rFonts w:ascii="Times" w:hAnsi="Times"/>
          <w:color w:val="222222"/>
          <w:u w:color="222222"/>
        </w:rPr>
        <w:t xml:space="preserve">= 1507 </w:t>
      </w:r>
      <w:r w:rsidRPr="00CB4346">
        <w:rPr>
          <w:rFonts w:ascii="Times" w:hAnsi="Times"/>
          <w:i/>
          <w:iCs/>
          <w:color w:val="222222"/>
          <w:u w:color="222222"/>
        </w:rPr>
        <w:t>(</w:t>
      </w:r>
      <w:r w:rsidRPr="00CB4346">
        <w:rPr>
          <w:rFonts w:ascii="Times" w:hAnsi="Times"/>
          <w:color w:val="222222"/>
          <w:u w:color="222222"/>
        </w:rPr>
        <w:t xml:space="preserve">68.9%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1990.95;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8.45).</w:t>
      </w:r>
    </w:p>
    <w:p w14:paraId="6D0962CF" w14:textId="4A6C0E25" w:rsidR="000E6D52" w:rsidRDefault="000E6D52" w:rsidP="000E6D52">
      <w:pPr>
        <w:spacing w:line="480" w:lineRule="auto"/>
        <w:rPr>
          <w:rFonts w:ascii="Times New Roman" w:eastAsia="Times New Roman" w:hAnsi="Times New Roman" w:cs="Times New Roman"/>
          <w:color w:val="000000"/>
          <w:sz w:val="24"/>
          <w:szCs w:val="24"/>
          <w:u w:color="333333"/>
          <w:bdr w:val="nil"/>
          <w:lang w:val="en-US" w:eastAsia="en-US"/>
        </w:rPr>
      </w:pPr>
      <w:r w:rsidRPr="000E6D52">
        <w:rPr>
          <w:rFonts w:ascii="Times New Roman" w:eastAsia="Times New Roman" w:hAnsi="Times New Roman" w:cs="Times New Roman"/>
          <w:b/>
          <w:bCs/>
          <w:color w:val="333333"/>
          <w:sz w:val="24"/>
          <w:szCs w:val="24"/>
          <w:u w:color="333333"/>
          <w:bdr w:val="nil"/>
          <w:lang w:val="en-US" w:eastAsia="en-US"/>
        </w:rPr>
        <w:t>Procedure.</w:t>
      </w:r>
      <w:r w:rsidRPr="000E6D52">
        <w:rPr>
          <w:rFonts w:ascii="Times New Roman" w:eastAsia="Times New Roman" w:hAnsi="Times New Roman" w:cs="Times New Roman"/>
          <w:color w:val="333333"/>
          <w:sz w:val="24"/>
          <w:szCs w:val="24"/>
          <w:u w:color="333333"/>
          <w:bdr w:val="nil"/>
          <w:lang w:val="en-US" w:eastAsia="en-US"/>
        </w:rPr>
        <w:t> </w:t>
      </w:r>
      <w:r w:rsidRPr="000E6D52">
        <w:rPr>
          <w:rFonts w:ascii="Times New Roman" w:eastAsia="Times New Roman" w:hAnsi="Times New Roman" w:cs="Times New Roman"/>
          <w:color w:val="000000"/>
          <w:sz w:val="24"/>
          <w:szCs w:val="24"/>
          <w:u w:color="333333"/>
          <w:bdr w:val="nil"/>
          <w:lang w:val="en-US" w:eastAsia="en-US"/>
        </w:rPr>
        <w:t>To be sure, we again asked whether they did eat or drink anything warm or cold 10 minutes before the study (“</w:t>
      </w:r>
      <w:proofErr w:type="spellStart"/>
      <w:r w:rsidRPr="000E6D52">
        <w:rPr>
          <w:rFonts w:ascii="Times New Roman" w:eastAsia="Times New Roman" w:hAnsi="Times New Roman" w:cs="Times New Roman"/>
          <w:color w:val="000000"/>
          <w:sz w:val="24"/>
          <w:szCs w:val="24"/>
          <w:u w:color="333333"/>
          <w:bdr w:val="nil"/>
          <w:lang w:val="en-US" w:eastAsia="en-US"/>
        </w:rPr>
        <w:t>eatdrink</w:t>
      </w:r>
      <w:proofErr w:type="spellEnd"/>
      <w:r w:rsidRPr="000E6D52">
        <w:rPr>
          <w:rFonts w:ascii="Times New Roman" w:eastAsia="Times New Roman" w:hAnsi="Times New Roman" w:cs="Times New Roman"/>
          <w:color w:val="000000"/>
          <w:sz w:val="24"/>
          <w:szCs w:val="24"/>
          <w:u w:color="333333"/>
          <w:bdr w:val="nil"/>
          <w:lang w:val="en-US" w:eastAsia="en-US"/>
        </w:rPr>
        <w:t>”) or whether they had exercised an hour preceding the study (“exercise”).</w:t>
      </w:r>
      <w:r>
        <w:rPr>
          <w:rFonts w:ascii="Times New Roman" w:eastAsia="Times New Roman" w:hAnsi="Times New Roman" w:cs="Times New Roman"/>
          <w:color w:val="000000"/>
          <w:sz w:val="24"/>
          <w:szCs w:val="24"/>
          <w:u w:color="333333"/>
          <w:bdr w:val="nil"/>
          <w:lang w:val="en-US" w:eastAsia="en-US"/>
        </w:rPr>
        <w:tab/>
      </w:r>
    </w:p>
    <w:p w14:paraId="54EB3411" w14:textId="77777777" w:rsidR="000E6D52" w:rsidRPr="00CB4346" w:rsidRDefault="000E6D52" w:rsidP="000E6D52">
      <w:pPr>
        <w:pStyle w:val="NormalWeb"/>
        <w:shd w:val="clear" w:color="auto" w:fill="FFFFFF"/>
        <w:spacing w:before="0" w:after="0" w:line="480" w:lineRule="auto"/>
        <w:ind w:firstLine="720"/>
        <w:rPr>
          <w:color w:val="333333"/>
          <w:sz w:val="24"/>
          <w:szCs w:val="24"/>
          <w:u w:color="333333"/>
        </w:rPr>
      </w:pPr>
      <w:r w:rsidRPr="00CB4346">
        <w:rPr>
          <w:b/>
          <w:bCs/>
          <w:color w:val="333333"/>
          <w:sz w:val="24"/>
          <w:szCs w:val="24"/>
          <w:u w:color="333333"/>
          <w:shd w:val="clear" w:color="auto" w:fill="FFFFFF"/>
        </w:rPr>
        <w:t>Survey details.</w:t>
      </w:r>
      <w:r w:rsidRPr="00CB4346">
        <w:rPr>
          <w:color w:val="333333"/>
          <w:sz w:val="24"/>
          <w:szCs w:val="24"/>
          <w:u w:color="333333"/>
          <w:shd w:val="clear" w:color="auto" w:fill="FFFFFF"/>
        </w:rPr>
        <w:t> We used the same questionnaires as our pilot study, but now added a few questions that may also bear relevance for CSI and core body temperature that pertain to the nature and structure of their relationships, like whether people are in a romantic relationship or not (“romantic”), how monogamous they perceive themselves to be (“monogamous”), and questions that pertain to the size of their online social networks (“</w:t>
      </w:r>
      <w:proofErr w:type="spellStart"/>
      <w:r w:rsidRPr="00CB4346">
        <w:rPr>
          <w:color w:val="333333"/>
          <w:sz w:val="24"/>
          <w:szCs w:val="24"/>
          <w:u w:color="333333"/>
          <w:shd w:val="clear" w:color="auto" w:fill="FFFFFF"/>
        </w:rPr>
        <w:t>onlineid</w:t>
      </w:r>
      <w:proofErr w:type="spellEnd"/>
      <w:r w:rsidRPr="00CB4346">
        <w:rPr>
          <w:color w:val="333333"/>
          <w:sz w:val="24"/>
          <w:szCs w:val="24"/>
          <w:u w:color="333333"/>
          <w:shd w:val="clear" w:color="auto" w:fill="FFFFFF"/>
        </w:rPr>
        <w:t>” and “</w:t>
      </w:r>
      <w:proofErr w:type="spellStart"/>
      <w:r w:rsidRPr="00CB4346">
        <w:rPr>
          <w:color w:val="333333"/>
          <w:sz w:val="24"/>
          <w:szCs w:val="24"/>
          <w:u w:color="333333"/>
          <w:shd w:val="clear" w:color="auto" w:fill="FFFFFF"/>
        </w:rPr>
        <w:t>attachphone</w:t>
      </w:r>
      <w:proofErr w:type="spellEnd"/>
      <w:r w:rsidRPr="00CB4346">
        <w:rPr>
          <w:color w:val="333333"/>
          <w:sz w:val="24"/>
          <w:szCs w:val="24"/>
          <w:u w:color="333333"/>
          <w:shd w:val="clear" w:color="auto" w:fill="FFFFFF"/>
        </w:rPr>
        <w:t>”), while we also recorded participants’ longitude and latitude via a standard option available in Qualtrics (“longitude”; we calculated latitude into equator distance “DEQ”). Finally</w:t>
      </w:r>
      <w:r w:rsidRPr="00CB4346">
        <w:rPr>
          <w:sz w:val="24"/>
          <w:szCs w:val="24"/>
        </w:rPr>
        <w:t>, as the number of social contexts in which people are socially engaged may differ widely between cultures and language coding for “warm” and “cold” (</w:t>
      </w:r>
      <w:proofErr w:type="spellStart"/>
      <w:r w:rsidRPr="00CB4346">
        <w:rPr>
          <w:color w:val="222222"/>
          <w:sz w:val="24"/>
          <w:szCs w:val="24"/>
          <w:u w:color="222222"/>
          <w:shd w:val="clear" w:color="auto" w:fill="FFFFFF"/>
        </w:rPr>
        <w:t>Koptjevskaja</w:t>
      </w:r>
      <w:proofErr w:type="spellEnd"/>
      <w:r w:rsidRPr="00CB4346">
        <w:rPr>
          <w:color w:val="222222"/>
          <w:sz w:val="24"/>
          <w:szCs w:val="24"/>
          <w:u w:color="222222"/>
          <w:shd w:val="clear" w:color="auto" w:fill="FFFFFF"/>
        </w:rPr>
        <w:t>-Tamm, 2015)</w:t>
      </w:r>
      <w:r w:rsidRPr="00CB4346">
        <w:rPr>
          <w:sz w:val="24"/>
          <w:szCs w:val="24"/>
        </w:rPr>
        <w:t xml:space="preserve">, we also included proxies for cultural influences with dummies for “language family” (Indo-European, Sino-Tibetan, and Uralic). Because cultural influences may be similarly large within a language family when the same language is spoken in highly different longitudinal locations (such as English spoken in the US versus that </w:t>
      </w:r>
      <w:r w:rsidRPr="00CB4346">
        <w:rPr>
          <w:sz w:val="24"/>
          <w:szCs w:val="24"/>
        </w:rPr>
        <w:lastRenderedPageBreak/>
        <w:t xml:space="preserve">spoken in Singapore), we also included degrees longitude. </w:t>
      </w:r>
      <w:r w:rsidRPr="00CB4346">
        <w:rPr>
          <w:color w:val="333333"/>
          <w:sz w:val="24"/>
          <w:szCs w:val="24"/>
          <w:u w:color="333333"/>
        </w:rPr>
        <w:t>At the end of the survey, participants were thanked for their participation</w:t>
      </w:r>
      <w:r>
        <w:rPr>
          <w:color w:val="333333"/>
          <w:sz w:val="24"/>
          <w:szCs w:val="24"/>
          <w:u w:color="333333"/>
        </w:rPr>
        <w:t xml:space="preserve"> and debriefed</w:t>
      </w:r>
      <w:r w:rsidRPr="00CB4346">
        <w:rPr>
          <w:color w:val="333333"/>
          <w:sz w:val="24"/>
          <w:szCs w:val="24"/>
          <w:u w:color="333333"/>
        </w:rPr>
        <w:t xml:space="preserve">. We again looked up minimum temperature of that day and average humidity of that day through their IP address and the weather history site. </w:t>
      </w:r>
    </w:p>
    <w:p w14:paraId="5E394D29" w14:textId="77777777" w:rsidR="000E6D52" w:rsidRPr="00CB4346" w:rsidRDefault="000E6D52" w:rsidP="000E6D52">
      <w:pPr>
        <w:pStyle w:val="NormalWeb"/>
        <w:shd w:val="clear" w:color="auto" w:fill="FFFFFF"/>
        <w:spacing w:before="0" w:after="0" w:line="480" w:lineRule="auto"/>
        <w:ind w:firstLine="720"/>
        <w:rPr>
          <w:color w:val="333333"/>
          <w:sz w:val="24"/>
          <w:szCs w:val="24"/>
          <w:u w:color="333333"/>
        </w:rPr>
      </w:pPr>
      <w:r w:rsidRPr="00CB4346">
        <w:rPr>
          <w:b/>
          <w:bCs/>
          <w:color w:val="333333"/>
          <w:sz w:val="24"/>
          <w:szCs w:val="24"/>
          <w:u w:color="333333"/>
        </w:rPr>
        <w:t>Data Handling.</w:t>
      </w:r>
      <w:r w:rsidRPr="00CB4346">
        <w:rPr>
          <w:color w:val="333333"/>
          <w:sz w:val="24"/>
          <w:szCs w:val="24"/>
          <w:u w:color="333333"/>
        </w:rPr>
        <w:t xml:space="preserve"> Before analyzing the data, for each scale variable, we checked the questionnaire’s reliability, and corrected labeling differences between sites where necessary (a complete file with all alterations can be requested from the first author). We then created a final "raw" dataset. Next, we reviewed all pictures that participants uploaded to our Qualtrics platform. We made 193 (mostly small) corrections to the CBT values, based on the picture participants uploaded. We also deleted 13 participants, as these participants uploaded either generic pictures or pictures that were irrelevant for our study. When no picture was uploaded, we kept the participant in our dataset. We also deleted participants from our dataset that reported core temperature values ("CBT" variable in the dataset) lower than 34.99 degrees Celsius, and participants that reported very unlikely core temperature values (e.g., 100 degrees Celsius). Our final sample consisted of 1507 participants. Because we had a far larger N than our pilot study, we were somewhat more liberal with our inclusion on the basis of time of day, and left participants in even when they were not within our requested time frame. Instead, we included the time of day at which they ended the survey (“</w:t>
      </w:r>
      <w:proofErr w:type="spellStart"/>
      <w:r w:rsidRPr="00CB4346">
        <w:rPr>
          <w:color w:val="333333"/>
          <w:sz w:val="24"/>
          <w:szCs w:val="24"/>
          <w:u w:color="333333"/>
        </w:rPr>
        <w:t>endtime</w:t>
      </w:r>
      <w:proofErr w:type="spellEnd"/>
      <w:r w:rsidRPr="00CB4346">
        <w:rPr>
          <w:color w:val="333333"/>
          <w:sz w:val="24"/>
          <w:szCs w:val="24"/>
          <w:u w:color="333333"/>
        </w:rPr>
        <w:t xml:space="preserve">”) as control in the random forest and then in our mediation analyses. </w:t>
      </w:r>
    </w:p>
    <w:p w14:paraId="2E678878" w14:textId="77777777" w:rsidR="000E6D52" w:rsidRPr="000E6D52" w:rsidRDefault="000E6D52" w:rsidP="000E6D52">
      <w:pPr>
        <w:spacing w:line="480" w:lineRule="auto"/>
        <w:rPr>
          <w:lang w:val="en-US"/>
        </w:rPr>
      </w:pPr>
    </w:p>
    <w:sectPr w:rsidR="000E6D52" w:rsidRPr="000E6D52" w:rsidSect="003A7610">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uan-Peng Hu" w:date="2017-12-19T22:17:00Z" w:initials="CH">
    <w:p w14:paraId="4D8E5432" w14:textId="7E04D326" w:rsidR="00BE0DEB" w:rsidRDefault="00BE0DEB">
      <w:pPr>
        <w:pStyle w:val="CommentText"/>
      </w:pPr>
      <w:r>
        <w:rPr>
          <w:rStyle w:val="CommentReference"/>
        </w:rPr>
        <w:annotationRef/>
      </w:r>
      <w:r>
        <w:t>discrepancy: N = 141 in the dataset</w:t>
      </w:r>
      <w:bookmarkStart w:id="1" w:name="_GoBack"/>
      <w:bookmarkEnd w:id="1"/>
    </w:p>
  </w:comment>
  <w:comment w:id="2" w:author="Hans IJzerman" w:date="2017-11-30T14:40:00Z" w:initials="HIJ">
    <w:p w14:paraId="7F4A2653" w14:textId="77777777" w:rsidR="000E6D52" w:rsidRDefault="000E6D52" w:rsidP="000E6D52">
      <w:pPr>
        <w:pStyle w:val="CommentText"/>
      </w:pPr>
      <w:r>
        <w:rPr>
          <w:rStyle w:val="CommentReference"/>
        </w:rPr>
        <w:annotationRef/>
      </w:r>
      <w:hyperlink r:id="rId1" w:history="1">
        <w:r w:rsidRPr="0035610B">
          <w:rPr>
            <w:rStyle w:val="Hyperlink"/>
          </w:rPr>
          <w:t>http://annals.org/aim/article-abstract/2470325/accuracy-peripheral-thermometers-estimating-temperature-systematic-review-meta-analysis</w:t>
        </w:r>
      </w:hyperlink>
      <w:r>
        <w:t xml:space="preserve"> (ADD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8E5432" w15:done="0"/>
  <w15:commentEx w15:paraId="7F4A2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8E5432" w16cid:durableId="1DE40E8B"/>
  <w16cid:commentId w16cid:paraId="7F4A2653" w16cid:durableId="1DDEC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57844" w14:textId="77777777" w:rsidR="00C810C9" w:rsidRDefault="00C810C9" w:rsidP="000E6D52">
      <w:pPr>
        <w:spacing w:after="0" w:line="240" w:lineRule="auto"/>
      </w:pPr>
      <w:r>
        <w:separator/>
      </w:r>
    </w:p>
  </w:endnote>
  <w:endnote w:type="continuationSeparator" w:id="0">
    <w:p w14:paraId="035FF84D" w14:textId="77777777" w:rsidR="00C810C9" w:rsidRDefault="00C810C9" w:rsidP="000E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B8C5" w14:textId="77777777" w:rsidR="00C810C9" w:rsidRDefault="00C810C9" w:rsidP="000E6D52">
      <w:pPr>
        <w:spacing w:after="0" w:line="240" w:lineRule="auto"/>
      </w:pPr>
      <w:r>
        <w:separator/>
      </w:r>
    </w:p>
  </w:footnote>
  <w:footnote w:type="continuationSeparator" w:id="0">
    <w:p w14:paraId="60284667" w14:textId="77777777" w:rsidR="00C810C9" w:rsidRDefault="00C810C9" w:rsidP="000E6D52">
      <w:pPr>
        <w:spacing w:after="0" w:line="240" w:lineRule="auto"/>
      </w:pPr>
      <w:r>
        <w:continuationSeparator/>
      </w:r>
    </w:p>
  </w:footnote>
  <w:footnote w:id="1">
    <w:p w14:paraId="0ACB173F" w14:textId="77777777" w:rsidR="000E6D52" w:rsidRDefault="000E6D52" w:rsidP="000E6D52">
      <w:pPr>
        <w:pStyle w:val="FootnoteText"/>
        <w:spacing w:after="0"/>
      </w:pPr>
      <w:r>
        <w:rPr>
          <w:rStyle w:val="FootnoteReference"/>
        </w:rPr>
        <w:footnoteRef/>
      </w:r>
      <w:r>
        <w:t xml:space="preserve"> </w:t>
      </w:r>
      <w:r w:rsidRPr="00C957BC">
        <w:rPr>
          <w:sz w:val="20"/>
          <w:szCs w:val="20"/>
        </w:rPr>
        <w:t xml:space="preserve">When we used </w:t>
      </w:r>
      <w:proofErr w:type="spellStart"/>
      <w:r w:rsidRPr="00C957BC">
        <w:rPr>
          <w:sz w:val="20"/>
          <w:szCs w:val="20"/>
        </w:rPr>
        <w:t>mTurk</w:t>
      </w:r>
      <w:proofErr w:type="spellEnd"/>
      <w:r w:rsidRPr="00C957BC">
        <w:rPr>
          <w:sz w:val="20"/>
          <w:szCs w:val="20"/>
        </w:rPr>
        <w:t xml:space="preserve"> and Prolific Academic, </w:t>
      </w:r>
      <w:proofErr w:type="spellStart"/>
      <w:r w:rsidRPr="00C957BC">
        <w:rPr>
          <w:sz w:val="20"/>
          <w:szCs w:val="20"/>
        </w:rPr>
        <w:t>mTurk</w:t>
      </w:r>
      <w:proofErr w:type="spellEnd"/>
      <w:r w:rsidRPr="00C957BC">
        <w:rPr>
          <w:sz w:val="20"/>
          <w:szCs w:val="20"/>
        </w:rPr>
        <w:t xml:space="preserve"> had parameters that could be set to control the quality of participants (so called “qualification requirements”) which Prolific Academic did not have at the time that we ran our study. We had many more participants at Prolific Academic than </w:t>
      </w:r>
      <w:proofErr w:type="spellStart"/>
      <w:r w:rsidRPr="00C957BC">
        <w:rPr>
          <w:sz w:val="20"/>
          <w:szCs w:val="20"/>
        </w:rPr>
        <w:t>mTurk</w:t>
      </w:r>
      <w:proofErr w:type="spellEnd"/>
      <w:r w:rsidRPr="00C957BC">
        <w:rPr>
          <w:sz w:val="20"/>
          <w:szCs w:val="20"/>
        </w:rPr>
        <w:t xml:space="preserve"> that did not follow our instructions, which can likely be explained by the qualification requirements we could set a priori for </w:t>
      </w:r>
      <w:proofErr w:type="spellStart"/>
      <w:r w:rsidRPr="00C957BC">
        <w:rPr>
          <w:sz w:val="20"/>
          <w:szCs w:val="20"/>
        </w:rPr>
        <w:t>mTurk</w:t>
      </w:r>
      <w:proofErr w:type="spellEnd"/>
      <w:r w:rsidRPr="00C957BC">
        <w:rPr>
          <w:sz w:val="20"/>
          <w:szCs w:val="20"/>
        </w:rPr>
        <w:t>.</w:t>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uan-Peng Hu">
    <w15:presenceInfo w15:providerId="Windows Live" w15:userId="b3f3f6a417be6905"/>
  </w15:person>
  <w15:person w15:author="Hans IJzerman">
    <w15:presenceInfo w15:providerId="None" w15:userId="Hans IJz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AC"/>
    <w:rsid w:val="000E6D52"/>
    <w:rsid w:val="00273045"/>
    <w:rsid w:val="003A7610"/>
    <w:rsid w:val="004F43AC"/>
    <w:rsid w:val="00607A7E"/>
    <w:rsid w:val="00B105F6"/>
    <w:rsid w:val="00BE0DEB"/>
    <w:rsid w:val="00C810C9"/>
    <w:rsid w:val="00F27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481EE"/>
  <w15:chartTrackingRefBased/>
  <w15:docId w15:val="{6D75A60A-F637-42BD-A560-A3C8B67E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D52"/>
  </w:style>
  <w:style w:type="paragraph" w:styleId="Footer">
    <w:name w:val="footer"/>
    <w:basedOn w:val="Normal"/>
    <w:link w:val="FooterChar"/>
    <w:uiPriority w:val="99"/>
    <w:unhideWhenUsed/>
    <w:rsid w:val="000E6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D52"/>
  </w:style>
  <w:style w:type="paragraph" w:styleId="FootnoteText">
    <w:name w:val="footnote text"/>
    <w:link w:val="FootnoteTextChar"/>
    <w:qFormat/>
    <w:rsid w:val="000E6D52"/>
    <w:pPr>
      <w:pBdr>
        <w:top w:val="nil"/>
        <w:left w:val="nil"/>
        <w:bottom w:val="nil"/>
        <w:right w:val="nil"/>
        <w:between w:val="nil"/>
        <w:bar w:val="nil"/>
      </w:pBdr>
    </w:pPr>
    <w:rPr>
      <w:rFonts w:ascii="Times New Roman" w:eastAsia="Times New Roman" w:hAnsi="Times New Roman" w:cs="Times New Roman"/>
      <w:color w:val="000000"/>
      <w:sz w:val="24"/>
      <w:szCs w:val="24"/>
      <w:u w:color="000000"/>
      <w:bdr w:val="nil"/>
      <w:lang w:val="en-US" w:eastAsia="en-US"/>
    </w:rPr>
  </w:style>
  <w:style w:type="character" w:customStyle="1" w:styleId="FootnoteTextChar">
    <w:name w:val="Footnote Text Char"/>
    <w:basedOn w:val="DefaultParagraphFont"/>
    <w:link w:val="FootnoteText"/>
    <w:qFormat/>
    <w:rsid w:val="000E6D52"/>
    <w:rPr>
      <w:rFonts w:ascii="Times New Roman" w:eastAsia="Times New Roman" w:hAnsi="Times New Roman" w:cs="Times New Roman"/>
      <w:color w:val="000000"/>
      <w:sz w:val="24"/>
      <w:szCs w:val="24"/>
      <w:u w:color="000000"/>
      <w:bdr w:val="nil"/>
      <w:lang w:val="en-US" w:eastAsia="en-US"/>
    </w:rPr>
  </w:style>
  <w:style w:type="character" w:styleId="FootnoteReference">
    <w:name w:val="footnote reference"/>
    <w:basedOn w:val="DefaultParagraphFont"/>
    <w:unhideWhenUsed/>
    <w:qFormat/>
    <w:rsid w:val="000E6D52"/>
    <w:rPr>
      <w:vertAlign w:val="superscript"/>
    </w:rPr>
  </w:style>
  <w:style w:type="character" w:styleId="Hyperlink">
    <w:name w:val="Hyperlink"/>
    <w:rsid w:val="000E6D52"/>
    <w:rPr>
      <w:u w:val="single"/>
    </w:rPr>
  </w:style>
  <w:style w:type="paragraph" w:styleId="CommentText">
    <w:name w:val="annotation text"/>
    <w:basedOn w:val="Normal"/>
    <w:link w:val="CommentTextChar"/>
    <w:semiHidden/>
    <w:unhideWhenUsed/>
    <w:qFormat/>
    <w:rsid w:val="000E6D52"/>
    <w:pPr>
      <w:widowControl/>
      <w:pBdr>
        <w:top w:val="nil"/>
        <w:left w:val="nil"/>
        <w:bottom w:val="nil"/>
        <w:right w:val="nil"/>
        <w:between w:val="nil"/>
        <w:bar w:val="nil"/>
      </w:pBdr>
      <w:spacing w:line="240" w:lineRule="auto"/>
      <w:jc w:val="left"/>
    </w:pPr>
    <w:rPr>
      <w:rFonts w:ascii="Times New Roman" w:eastAsia="Times New Roman" w:hAnsi="Times New Roman" w:cs="Times New Roman"/>
      <w:color w:val="000000"/>
      <w:sz w:val="24"/>
      <w:szCs w:val="24"/>
      <w:u w:color="000000"/>
      <w:bdr w:val="nil"/>
      <w:lang w:val="en-US" w:eastAsia="en-US"/>
    </w:rPr>
  </w:style>
  <w:style w:type="character" w:customStyle="1" w:styleId="CommentTextChar">
    <w:name w:val="Comment Text Char"/>
    <w:basedOn w:val="DefaultParagraphFont"/>
    <w:link w:val="CommentText"/>
    <w:semiHidden/>
    <w:qFormat/>
    <w:rsid w:val="000E6D52"/>
    <w:rPr>
      <w:rFonts w:ascii="Times New Roman" w:eastAsia="Times New Roman" w:hAnsi="Times New Roman" w:cs="Times New Roman"/>
      <w:color w:val="000000"/>
      <w:sz w:val="24"/>
      <w:szCs w:val="24"/>
      <w:u w:color="000000"/>
      <w:bdr w:val="nil"/>
      <w:lang w:val="en-US" w:eastAsia="en-US"/>
    </w:rPr>
  </w:style>
  <w:style w:type="character" w:styleId="CommentReference">
    <w:name w:val="annotation reference"/>
    <w:basedOn w:val="DefaultParagraphFont"/>
    <w:unhideWhenUsed/>
    <w:qFormat/>
    <w:rsid w:val="000E6D52"/>
    <w:rPr>
      <w:sz w:val="18"/>
      <w:szCs w:val="18"/>
    </w:rPr>
  </w:style>
  <w:style w:type="paragraph" w:styleId="BalloonText">
    <w:name w:val="Balloon Text"/>
    <w:basedOn w:val="Normal"/>
    <w:link w:val="BalloonTextChar"/>
    <w:uiPriority w:val="99"/>
    <w:semiHidden/>
    <w:unhideWhenUsed/>
    <w:rsid w:val="000E6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D52"/>
    <w:rPr>
      <w:rFonts w:ascii="Segoe UI" w:hAnsi="Segoe UI" w:cs="Segoe UI"/>
      <w:sz w:val="18"/>
      <w:szCs w:val="18"/>
    </w:rPr>
  </w:style>
  <w:style w:type="paragraph" w:customStyle="1" w:styleId="Normal1">
    <w:name w:val="Normal1"/>
    <w:qFormat/>
    <w:rsid w:val="000E6D52"/>
    <w:pPr>
      <w:pBdr>
        <w:top w:val="nil"/>
        <w:left w:val="nil"/>
        <w:bottom w:val="nil"/>
        <w:right w:val="nil"/>
        <w:between w:val="nil"/>
        <w:bar w:val="nil"/>
      </w:pBdr>
      <w:spacing w:line="276" w:lineRule="auto"/>
    </w:pPr>
    <w:rPr>
      <w:rFonts w:ascii="Arial" w:eastAsia="Arial Unicode MS" w:hAnsi="Arial" w:cs="Arial Unicode MS"/>
      <w:color w:val="000000"/>
      <w:u w:color="000000"/>
      <w:bdr w:val="nil"/>
      <w:lang w:val="en-US" w:eastAsia="en-US"/>
    </w:rPr>
  </w:style>
  <w:style w:type="paragraph" w:styleId="NormalWeb">
    <w:name w:val="Normal (Web)"/>
    <w:rsid w:val="000E6D52"/>
    <w:pPr>
      <w:pBdr>
        <w:top w:val="nil"/>
        <w:left w:val="nil"/>
        <w:bottom w:val="nil"/>
        <w:right w:val="nil"/>
        <w:between w:val="nil"/>
        <w:bar w:val="nil"/>
      </w:pBdr>
      <w:spacing w:before="100" w:after="100"/>
    </w:pPr>
    <w:rPr>
      <w:rFonts w:ascii="Times" w:eastAsia="Arial Unicode MS" w:hAnsi="Times" w:cs="Arial Unicode MS"/>
      <w:color w:val="000000"/>
      <w:sz w:val="20"/>
      <w:szCs w:val="20"/>
      <w:u w:color="000000"/>
      <w:bdr w:val="nil"/>
      <w:lang w:val="en-US" w:eastAsia="en-US"/>
    </w:rPr>
  </w:style>
  <w:style w:type="paragraph" w:styleId="CommentSubject">
    <w:name w:val="annotation subject"/>
    <w:basedOn w:val="CommentText"/>
    <w:next w:val="CommentText"/>
    <w:link w:val="CommentSubjectChar"/>
    <w:uiPriority w:val="99"/>
    <w:semiHidden/>
    <w:unhideWhenUsed/>
    <w:rsid w:val="00BE0DE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Theme="minorEastAsia" w:hAnsiTheme="minorHAnsi" w:cstheme="minorBidi"/>
      <w:b/>
      <w:bCs/>
      <w:color w:val="auto"/>
      <w:sz w:val="20"/>
      <w:szCs w:val="20"/>
      <w:bdr w:val="none" w:sz="0" w:space="0" w:color="auto"/>
      <w:lang w:val="en-GB" w:eastAsia="zh-CN"/>
    </w:rPr>
  </w:style>
  <w:style w:type="character" w:customStyle="1" w:styleId="CommentSubjectChar">
    <w:name w:val="Comment Subject Char"/>
    <w:basedOn w:val="CommentTextChar"/>
    <w:link w:val="CommentSubject"/>
    <w:uiPriority w:val="99"/>
    <w:semiHidden/>
    <w:rsid w:val="00BE0DEB"/>
    <w:rPr>
      <w:rFonts w:ascii="Times New Roman" w:eastAsia="Times New Roman" w:hAnsi="Times New Roman" w:cs="Times New Roman"/>
      <w:b/>
      <w:bCs/>
      <w:color w:val="000000"/>
      <w:sz w:val="20"/>
      <w:szCs w:val="20"/>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nnals.org/aim/article-abstract/2470325/accuracy-peripheral-thermometers-estimating-temperature-systematic-review-meta-analysi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Chuan-Peng Hu</dc:creator>
  <cp:keywords/>
  <dc:description/>
  <cp:lastModifiedBy>Chuan-Peng Hu</cp:lastModifiedBy>
  <cp:revision>5</cp:revision>
  <dcterms:created xsi:type="dcterms:W3CDTF">2017-12-15T20:49:00Z</dcterms:created>
  <dcterms:modified xsi:type="dcterms:W3CDTF">2017-12-19T21:18:00Z</dcterms:modified>
</cp:coreProperties>
</file>