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CCE2" w14:textId="77777777" w:rsidR="00F0032A" w:rsidRPr="00255482" w:rsidRDefault="00F0032A" w:rsidP="00F0032A">
      <w:pPr>
        <w:spacing w:after="20"/>
        <w:jc w:val="center"/>
        <w:rPr>
          <w:color w:val="44546A" w:themeColor="text2"/>
          <w:sz w:val="28"/>
          <w:szCs w:val="28"/>
        </w:rPr>
      </w:pPr>
      <w:r w:rsidRPr="00255482">
        <w:rPr>
          <w:b/>
          <w:color w:val="44546A" w:themeColor="text2"/>
          <w:sz w:val="28"/>
          <w:szCs w:val="28"/>
        </w:rPr>
        <w:t>POLICY BRIEF</w:t>
      </w:r>
    </w:p>
    <w:p w14:paraId="2AFAEF71" w14:textId="4556C092" w:rsidR="00F0032A" w:rsidRPr="008C03A6" w:rsidRDefault="008C03A6" w:rsidP="00846B7E">
      <w:pPr>
        <w:pStyle w:val="Title"/>
        <w:pBdr>
          <w:bottom w:val="single" w:sz="4" w:space="1" w:color="auto"/>
        </w:pBdr>
        <w:spacing w:after="20"/>
        <w:jc w:val="center"/>
        <w:rPr>
          <w:rFonts w:ascii="Aptos" w:hAnsi="Aptos"/>
          <w:b/>
          <w:bCs/>
          <w:color w:val="1F3864" w:themeColor="accent1" w:themeShade="80"/>
          <w:sz w:val="28"/>
          <w:szCs w:val="28"/>
        </w:rPr>
      </w:pPr>
      <w:r w:rsidRPr="008C03A6">
        <w:rPr>
          <w:rFonts w:ascii="Aptos" w:eastAsia="Times New Roman" w:hAnsi="Aptos" w:cs="Calibri"/>
          <w:b/>
          <w:bCs/>
          <w:color w:val="1F3864" w:themeColor="accent1" w:themeShade="80"/>
          <w:spacing w:val="0"/>
          <w:kern w:val="0"/>
          <w:sz w:val="28"/>
          <w:szCs w:val="28"/>
        </w:rPr>
        <w:t>Strengthening community-managed irrigation systems in Gilgit-Baltistan</w:t>
      </w:r>
    </w:p>
    <w:tbl>
      <w:tblPr>
        <w:tblStyle w:val="TableGrid"/>
        <w:tblW w:w="9805" w:type="dxa"/>
        <w:tblLook w:val="04A0" w:firstRow="1" w:lastRow="0" w:firstColumn="1" w:lastColumn="0" w:noHBand="0" w:noVBand="1"/>
      </w:tblPr>
      <w:tblGrid>
        <w:gridCol w:w="1596"/>
        <w:gridCol w:w="4468"/>
        <w:gridCol w:w="3741"/>
      </w:tblGrid>
      <w:tr w:rsidR="00F0032A" w14:paraId="5CDF29AF" w14:textId="77777777" w:rsidTr="00F81BA5">
        <w:trPr>
          <w:trHeight w:val="683"/>
        </w:trPr>
        <w:tc>
          <w:tcPr>
            <w:tcW w:w="1596" w:type="dxa"/>
            <w:tcBorders>
              <w:bottom w:val="single" w:sz="4" w:space="0" w:color="auto"/>
              <w:right w:val="nil"/>
            </w:tcBorders>
            <w:vAlign w:val="center"/>
          </w:tcPr>
          <w:p w14:paraId="77C086E8" w14:textId="77777777" w:rsidR="00F0032A" w:rsidRPr="0091225E" w:rsidRDefault="00F0032A" w:rsidP="00F81BA5">
            <w:pPr>
              <w:rPr>
                <w:b/>
                <w:bCs/>
                <w:sz w:val="20"/>
                <w:szCs w:val="20"/>
              </w:rPr>
            </w:pPr>
            <w:r w:rsidRPr="0091225E">
              <w:rPr>
                <w:b/>
                <w:bCs/>
                <w:sz w:val="20"/>
                <w:szCs w:val="20"/>
              </w:rPr>
              <w:t>Prepared for:</w:t>
            </w:r>
          </w:p>
        </w:tc>
        <w:tc>
          <w:tcPr>
            <w:tcW w:w="4468" w:type="dxa"/>
            <w:tcBorders>
              <w:left w:val="nil"/>
              <w:bottom w:val="single" w:sz="4" w:space="0" w:color="auto"/>
              <w:right w:val="nil"/>
            </w:tcBorders>
            <w:vAlign w:val="center"/>
          </w:tcPr>
          <w:p w14:paraId="30046FB6" w14:textId="77777777" w:rsidR="00F0032A" w:rsidRPr="00B95614" w:rsidRDefault="00F0032A" w:rsidP="00F81BA5">
            <w:pPr>
              <w:rPr>
                <w:sz w:val="20"/>
                <w:szCs w:val="20"/>
              </w:rPr>
            </w:pPr>
          </w:p>
          <w:p w14:paraId="353E75A8" w14:textId="77777777" w:rsidR="00F0032A" w:rsidRPr="00B95614" w:rsidRDefault="00F0032A" w:rsidP="00F81BA5">
            <w:pPr>
              <w:rPr>
                <w:sz w:val="20"/>
                <w:szCs w:val="20"/>
              </w:rPr>
            </w:pPr>
            <w:r w:rsidRPr="00B95614">
              <w:rPr>
                <w:sz w:val="20"/>
                <w:szCs w:val="20"/>
              </w:rPr>
              <w:t>The Government of Gilgit-Baltistan</w:t>
            </w:r>
          </w:p>
          <w:p w14:paraId="38346E05" w14:textId="77777777" w:rsidR="00F0032A" w:rsidRPr="00B95614" w:rsidRDefault="00F0032A" w:rsidP="00F81BA5">
            <w:pPr>
              <w:rPr>
                <w:sz w:val="20"/>
                <w:szCs w:val="20"/>
              </w:rPr>
            </w:pPr>
          </w:p>
        </w:tc>
        <w:tc>
          <w:tcPr>
            <w:tcW w:w="3741" w:type="dxa"/>
            <w:tcBorders>
              <w:left w:val="nil"/>
              <w:bottom w:val="single" w:sz="4" w:space="0" w:color="auto"/>
            </w:tcBorders>
            <w:vAlign w:val="center"/>
          </w:tcPr>
          <w:p w14:paraId="4E6D944D" w14:textId="77777777" w:rsidR="00F0032A" w:rsidRPr="00B95614" w:rsidRDefault="00F0032A" w:rsidP="00F81BA5">
            <w:pPr>
              <w:jc w:val="center"/>
              <w:rPr>
                <w:sz w:val="20"/>
                <w:szCs w:val="20"/>
              </w:rPr>
            </w:pPr>
            <w:r w:rsidRPr="00B95614">
              <w:rPr>
                <w:noProof/>
                <w:sz w:val="20"/>
                <w:szCs w:val="20"/>
              </w:rPr>
              <w:drawing>
                <wp:inline distT="0" distB="0" distL="0" distR="0" wp14:anchorId="6CE7CC7C" wp14:editId="14DAE200">
                  <wp:extent cx="549288" cy="358140"/>
                  <wp:effectExtent l="0" t="0" r="3175" b="3810"/>
                  <wp:docPr id="13879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741" cy="363000"/>
                          </a:xfrm>
                          <a:prstGeom prst="rect">
                            <a:avLst/>
                          </a:prstGeom>
                          <a:noFill/>
                        </pic:spPr>
                      </pic:pic>
                    </a:graphicData>
                  </a:graphic>
                </wp:inline>
              </w:drawing>
            </w:r>
          </w:p>
        </w:tc>
      </w:tr>
      <w:tr w:rsidR="00F0032A" w14:paraId="0719ED03" w14:textId="77777777" w:rsidTr="00F81BA5">
        <w:trPr>
          <w:trHeight w:val="737"/>
        </w:trPr>
        <w:tc>
          <w:tcPr>
            <w:tcW w:w="1596" w:type="dxa"/>
            <w:tcBorders>
              <w:bottom w:val="single" w:sz="4" w:space="0" w:color="auto"/>
              <w:right w:val="nil"/>
            </w:tcBorders>
            <w:vAlign w:val="center"/>
          </w:tcPr>
          <w:p w14:paraId="784F0500" w14:textId="77777777" w:rsidR="00F0032A" w:rsidRPr="0091225E" w:rsidRDefault="00F0032A" w:rsidP="00F81BA5">
            <w:pPr>
              <w:rPr>
                <w:b/>
                <w:bCs/>
                <w:sz w:val="20"/>
                <w:szCs w:val="20"/>
              </w:rPr>
            </w:pPr>
            <w:r w:rsidRPr="0091225E">
              <w:rPr>
                <w:b/>
                <w:bCs/>
                <w:sz w:val="20"/>
                <w:szCs w:val="20"/>
              </w:rPr>
              <w:t>Prepared by:</w:t>
            </w:r>
          </w:p>
        </w:tc>
        <w:tc>
          <w:tcPr>
            <w:tcW w:w="4468" w:type="dxa"/>
            <w:tcBorders>
              <w:left w:val="nil"/>
              <w:bottom w:val="single" w:sz="4" w:space="0" w:color="auto"/>
              <w:right w:val="nil"/>
            </w:tcBorders>
            <w:vAlign w:val="center"/>
          </w:tcPr>
          <w:p w14:paraId="0A7FB675" w14:textId="77777777" w:rsidR="00F0032A" w:rsidRPr="00B95614" w:rsidRDefault="00F0032A" w:rsidP="00F81BA5">
            <w:pPr>
              <w:rPr>
                <w:noProof/>
                <w:sz w:val="20"/>
                <w:szCs w:val="20"/>
              </w:rPr>
            </w:pPr>
          </w:p>
          <w:p w14:paraId="608757E1" w14:textId="77777777" w:rsidR="00F0032A" w:rsidRPr="00B95614" w:rsidRDefault="00F0032A" w:rsidP="00F81BA5">
            <w:pPr>
              <w:rPr>
                <w:noProof/>
                <w:sz w:val="20"/>
                <w:szCs w:val="20"/>
              </w:rPr>
            </w:pPr>
            <w:r w:rsidRPr="00B95614">
              <w:rPr>
                <w:noProof/>
                <w:sz w:val="20"/>
                <w:szCs w:val="20"/>
              </w:rPr>
              <w:t xml:space="preserve">The NTU International A/S </w:t>
            </w:r>
            <w:r>
              <w:rPr>
                <w:noProof/>
                <w:sz w:val="20"/>
                <w:szCs w:val="20"/>
              </w:rPr>
              <w:t>Consortium/</w:t>
            </w:r>
            <w:r>
              <w:rPr>
                <w:noProof/>
                <w:sz w:val="20"/>
                <w:szCs w:val="20"/>
              </w:rPr>
              <w:br/>
              <w:t>Himat Consulting (Pvt) Ltd</w:t>
            </w:r>
          </w:p>
        </w:tc>
        <w:tc>
          <w:tcPr>
            <w:tcW w:w="3741" w:type="dxa"/>
            <w:tcBorders>
              <w:left w:val="nil"/>
              <w:bottom w:val="single" w:sz="4" w:space="0" w:color="auto"/>
            </w:tcBorders>
            <w:vAlign w:val="center"/>
          </w:tcPr>
          <w:p w14:paraId="4343477A" w14:textId="77777777" w:rsidR="00F0032A" w:rsidRPr="00437D00" w:rsidRDefault="00F0032A" w:rsidP="00F81BA5">
            <w:pPr>
              <w:pStyle w:val="NormalWeb"/>
              <w:jc w:val="center"/>
            </w:pPr>
            <w:r w:rsidRPr="00B95614">
              <w:rPr>
                <w:noProof/>
                <w:sz w:val="20"/>
                <w:szCs w:val="20"/>
              </w:rPr>
              <w:drawing>
                <wp:anchor distT="0" distB="0" distL="114300" distR="114300" simplePos="0" relativeHeight="251660288" behindDoc="1" locked="0" layoutInCell="1" allowOverlap="1" wp14:anchorId="7D0F3894" wp14:editId="4BFA922E">
                  <wp:simplePos x="0" y="0"/>
                  <wp:positionH relativeFrom="column">
                    <wp:posOffset>590550</wp:posOffset>
                  </wp:positionH>
                  <wp:positionV relativeFrom="paragraph">
                    <wp:posOffset>15240</wp:posOffset>
                  </wp:positionV>
                  <wp:extent cx="480060" cy="480060"/>
                  <wp:effectExtent l="0" t="0" r="0" b="0"/>
                  <wp:wrapTight wrapText="bothSides">
                    <wp:wrapPolygon edited="0">
                      <wp:start x="4286" y="0"/>
                      <wp:lineTo x="0" y="4286"/>
                      <wp:lineTo x="0" y="16286"/>
                      <wp:lineTo x="4286" y="20571"/>
                      <wp:lineTo x="16286" y="20571"/>
                      <wp:lineTo x="20571" y="16286"/>
                      <wp:lineTo x="20571" y="4286"/>
                      <wp:lineTo x="16286" y="0"/>
                      <wp:lineTo x="4286" y="0"/>
                    </wp:wrapPolygon>
                  </wp:wrapTight>
                  <wp:docPr id="66242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66C6D7D5" wp14:editId="71B72F79">
                  <wp:simplePos x="0" y="0"/>
                  <wp:positionH relativeFrom="column">
                    <wp:posOffset>1177290</wp:posOffset>
                  </wp:positionH>
                  <wp:positionV relativeFrom="paragraph">
                    <wp:posOffset>59690</wp:posOffset>
                  </wp:positionV>
                  <wp:extent cx="411480" cy="411480"/>
                  <wp:effectExtent l="0" t="0" r="7620" b="7620"/>
                  <wp:wrapTight wrapText="bothSides">
                    <wp:wrapPolygon edited="0">
                      <wp:start x="0" y="0"/>
                      <wp:lineTo x="0" y="21000"/>
                      <wp:lineTo x="21000" y="21000"/>
                      <wp:lineTo x="210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0032A" w14:paraId="19294500" w14:textId="77777777" w:rsidTr="00F81BA5">
        <w:trPr>
          <w:trHeight w:val="530"/>
        </w:trPr>
        <w:tc>
          <w:tcPr>
            <w:tcW w:w="1596" w:type="dxa"/>
            <w:tcBorders>
              <w:bottom w:val="single" w:sz="4" w:space="0" w:color="auto"/>
              <w:right w:val="nil"/>
            </w:tcBorders>
            <w:vAlign w:val="center"/>
          </w:tcPr>
          <w:p w14:paraId="08A64FD4" w14:textId="77777777" w:rsidR="00F0032A" w:rsidRPr="0091225E" w:rsidRDefault="00F0032A" w:rsidP="00F81BA5">
            <w:pPr>
              <w:rPr>
                <w:rFonts w:ascii="Calibri" w:hAnsi="Calibri" w:cs="Calibri"/>
                <w:b/>
                <w:bCs/>
                <w:noProof/>
                <w:color w:val="002060"/>
                <w:sz w:val="22"/>
              </w:rPr>
            </w:pPr>
            <w:r w:rsidRPr="0091225E">
              <w:rPr>
                <w:b/>
                <w:bCs/>
                <w:sz w:val="20"/>
                <w:szCs w:val="20"/>
              </w:rPr>
              <w:t xml:space="preserve">Author(s): </w:t>
            </w:r>
          </w:p>
        </w:tc>
        <w:tc>
          <w:tcPr>
            <w:tcW w:w="8209" w:type="dxa"/>
            <w:gridSpan w:val="2"/>
            <w:tcBorders>
              <w:left w:val="nil"/>
              <w:bottom w:val="single" w:sz="4" w:space="0" w:color="auto"/>
            </w:tcBorders>
            <w:vAlign w:val="center"/>
          </w:tcPr>
          <w:p w14:paraId="6F513348" w14:textId="567AC88C" w:rsidR="00F0032A" w:rsidRPr="00B95614" w:rsidRDefault="008C03A6" w:rsidP="00F81BA5">
            <w:pPr>
              <w:rPr>
                <w:rFonts w:ascii="Calibri" w:hAnsi="Calibri" w:cs="Calibri"/>
                <w:b/>
                <w:bCs/>
                <w:noProof/>
                <w:color w:val="002060"/>
                <w:sz w:val="20"/>
                <w:szCs w:val="20"/>
              </w:rPr>
            </w:pPr>
            <w:r>
              <w:rPr>
                <w:sz w:val="20"/>
                <w:szCs w:val="20"/>
              </w:rPr>
              <w:t>Sajid Ali Khan</w:t>
            </w:r>
            <w:r w:rsidR="00F0032A">
              <w:rPr>
                <w:sz w:val="20"/>
                <w:szCs w:val="20"/>
              </w:rPr>
              <w:t xml:space="preserve"> (</w:t>
            </w:r>
            <w:r>
              <w:rPr>
                <w:sz w:val="20"/>
                <w:szCs w:val="20"/>
              </w:rPr>
              <w:t>Irrigation</w:t>
            </w:r>
            <w:r w:rsidR="00F0032A">
              <w:rPr>
                <w:sz w:val="20"/>
                <w:szCs w:val="20"/>
              </w:rPr>
              <w:t xml:space="preserve"> expert); </w:t>
            </w:r>
            <w:r w:rsidR="00F0032A" w:rsidRPr="00B95614">
              <w:rPr>
                <w:sz w:val="20"/>
                <w:szCs w:val="20"/>
              </w:rPr>
              <w:t xml:space="preserve">Ashab Baig </w:t>
            </w:r>
            <w:r w:rsidR="00A55B5D">
              <w:rPr>
                <w:sz w:val="20"/>
                <w:szCs w:val="20"/>
              </w:rPr>
              <w:t>(Team Lead</w:t>
            </w:r>
            <w:r w:rsidR="00F0032A">
              <w:rPr>
                <w:sz w:val="20"/>
                <w:szCs w:val="20"/>
              </w:rPr>
              <w:t>)</w:t>
            </w:r>
          </w:p>
        </w:tc>
      </w:tr>
      <w:tr w:rsidR="00F0032A" w14:paraId="05398F55" w14:textId="77777777" w:rsidTr="00F81BA5">
        <w:trPr>
          <w:trHeight w:val="530"/>
        </w:trPr>
        <w:tc>
          <w:tcPr>
            <w:tcW w:w="1596" w:type="dxa"/>
            <w:tcBorders>
              <w:right w:val="nil"/>
            </w:tcBorders>
            <w:vAlign w:val="center"/>
          </w:tcPr>
          <w:p w14:paraId="5F48BD95" w14:textId="77777777" w:rsidR="00F0032A" w:rsidRPr="0091225E" w:rsidRDefault="00F0032A" w:rsidP="00F81BA5">
            <w:pPr>
              <w:rPr>
                <w:b/>
                <w:bCs/>
                <w:sz w:val="20"/>
                <w:szCs w:val="20"/>
              </w:rPr>
            </w:pPr>
            <w:r w:rsidRPr="0091225E">
              <w:rPr>
                <w:b/>
                <w:bCs/>
                <w:sz w:val="20"/>
                <w:szCs w:val="20"/>
              </w:rPr>
              <w:t>Project Name:</w:t>
            </w:r>
          </w:p>
        </w:tc>
        <w:tc>
          <w:tcPr>
            <w:tcW w:w="4468" w:type="dxa"/>
            <w:tcBorders>
              <w:left w:val="nil"/>
              <w:right w:val="nil"/>
            </w:tcBorders>
            <w:vAlign w:val="center"/>
          </w:tcPr>
          <w:p w14:paraId="049DD9E5" w14:textId="77777777" w:rsidR="00F0032A" w:rsidRPr="00B95614" w:rsidRDefault="00F0032A" w:rsidP="00F81BA5">
            <w:pPr>
              <w:rPr>
                <w:sz w:val="20"/>
                <w:szCs w:val="20"/>
              </w:rPr>
            </w:pPr>
            <w:r w:rsidRPr="00B95614">
              <w:rPr>
                <w:sz w:val="20"/>
                <w:szCs w:val="20"/>
              </w:rPr>
              <w:t>SEA-2023-24956: Policy support to the Government of Gilgit-Baltistan</w:t>
            </w:r>
          </w:p>
        </w:tc>
        <w:tc>
          <w:tcPr>
            <w:tcW w:w="3741" w:type="dxa"/>
            <w:tcBorders>
              <w:left w:val="nil"/>
            </w:tcBorders>
            <w:vAlign w:val="center"/>
          </w:tcPr>
          <w:p w14:paraId="36BCD4B9" w14:textId="77777777" w:rsidR="00F0032A" w:rsidRPr="00B95614" w:rsidRDefault="00F0032A" w:rsidP="00F81BA5">
            <w:pPr>
              <w:rPr>
                <w:sz w:val="20"/>
                <w:szCs w:val="20"/>
              </w:rPr>
            </w:pPr>
            <w:r w:rsidRPr="00B95614">
              <w:rPr>
                <w:noProof/>
                <w:sz w:val="20"/>
                <w:szCs w:val="20"/>
              </w:rPr>
              <w:drawing>
                <wp:anchor distT="0" distB="0" distL="114300" distR="114300" simplePos="0" relativeHeight="251661312" behindDoc="1" locked="0" layoutInCell="1" allowOverlap="1" wp14:anchorId="0C477E48" wp14:editId="2DC437CB">
                  <wp:simplePos x="0" y="0"/>
                  <wp:positionH relativeFrom="column">
                    <wp:posOffset>-6183630</wp:posOffset>
                  </wp:positionH>
                  <wp:positionV relativeFrom="paragraph">
                    <wp:posOffset>-3147060</wp:posOffset>
                  </wp:positionV>
                  <wp:extent cx="1949450" cy="335280"/>
                  <wp:effectExtent l="0" t="0" r="0" b="7620"/>
                  <wp:wrapTight wrapText="bothSides">
                    <wp:wrapPolygon edited="0">
                      <wp:start x="0" y="0"/>
                      <wp:lineTo x="0" y="20864"/>
                      <wp:lineTo x="21319" y="20864"/>
                      <wp:lineTo x="21319" y="0"/>
                      <wp:lineTo x="0" y="0"/>
                    </wp:wrapPolygon>
                  </wp:wrapTight>
                  <wp:docPr id="1596227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9450" cy="335280"/>
                          </a:xfrm>
                          <a:prstGeom prst="rect">
                            <a:avLst/>
                          </a:prstGeom>
                          <a:noFill/>
                        </pic:spPr>
                      </pic:pic>
                    </a:graphicData>
                  </a:graphic>
                  <wp14:sizeRelH relativeFrom="margin">
                    <wp14:pctWidth>0</wp14:pctWidth>
                  </wp14:sizeRelH>
                  <wp14:sizeRelV relativeFrom="margin">
                    <wp14:pctHeight>0</wp14:pctHeight>
                  </wp14:sizeRelV>
                </wp:anchor>
              </w:drawing>
            </w:r>
          </w:p>
        </w:tc>
      </w:tr>
      <w:tr w:rsidR="00F0032A" w14:paraId="042F6690" w14:textId="77777777" w:rsidTr="00F81BA5">
        <w:tc>
          <w:tcPr>
            <w:tcW w:w="9805" w:type="dxa"/>
            <w:gridSpan w:val="3"/>
            <w:vAlign w:val="center"/>
          </w:tcPr>
          <w:p w14:paraId="0C3C665B" w14:textId="77777777" w:rsidR="00F0032A" w:rsidRPr="00B95614" w:rsidRDefault="00F0032A" w:rsidP="00F81BA5">
            <w:pPr>
              <w:jc w:val="both"/>
              <w:rPr>
                <w:sz w:val="20"/>
                <w:szCs w:val="20"/>
              </w:rPr>
            </w:pPr>
            <w:r w:rsidRPr="00B95614">
              <w:rPr>
                <w:b/>
                <w:bCs/>
                <w:sz w:val="20"/>
                <w:szCs w:val="20"/>
              </w:rPr>
              <w:t>Disclaimer:</w:t>
            </w:r>
            <w:r w:rsidRPr="00B95614">
              <w:rPr>
                <w:sz w:val="20"/>
                <w:szCs w:val="20"/>
              </w:rPr>
              <w:t xml:space="preserve"> T</w:t>
            </w:r>
            <w:r w:rsidRPr="00B95614">
              <w:rPr>
                <w:i/>
                <w:iCs/>
                <w:sz w:val="20"/>
                <w:szCs w:val="20"/>
              </w:rPr>
              <w:t xml:space="preserve">he views and opinions expressed are those of the author(s) and do not necessarily reflect those of the European Union or the NTU International. Neither the European Union nor the </w:t>
            </w:r>
            <w:r>
              <w:rPr>
                <w:i/>
                <w:iCs/>
                <w:sz w:val="20"/>
                <w:szCs w:val="20"/>
              </w:rPr>
              <w:t>granting authority</w:t>
            </w:r>
            <w:r w:rsidRPr="00B95614">
              <w:rPr>
                <w:i/>
                <w:iCs/>
                <w:sz w:val="20"/>
                <w:szCs w:val="20"/>
              </w:rPr>
              <w:t xml:space="preserve"> can be held responsible for them.</w:t>
            </w:r>
          </w:p>
        </w:tc>
      </w:tr>
    </w:tbl>
    <w:p w14:paraId="297E49F4" w14:textId="12605649" w:rsidR="00F0032A" w:rsidRPr="00B95614" w:rsidRDefault="00F0032A" w:rsidP="00F0032A">
      <w:pPr>
        <w:spacing w:after="160"/>
        <w:rPr>
          <w:b/>
          <w:szCs w:val="18"/>
        </w:rPr>
      </w:pPr>
      <w:r w:rsidRPr="00B95614">
        <w:rPr>
          <w:b/>
          <w:szCs w:val="18"/>
        </w:rPr>
        <w:t xml:space="preserve">Dated: </w:t>
      </w:r>
      <w:r w:rsidR="000D0973">
        <w:rPr>
          <w:b/>
          <w:szCs w:val="18"/>
        </w:rPr>
        <w:t>28</w:t>
      </w:r>
      <w:r w:rsidRPr="00B95614">
        <w:rPr>
          <w:b/>
          <w:szCs w:val="18"/>
          <w:vertAlign w:val="superscript"/>
        </w:rPr>
        <w:t>th</w:t>
      </w:r>
      <w:r w:rsidRPr="00B95614">
        <w:rPr>
          <w:b/>
          <w:szCs w:val="18"/>
        </w:rPr>
        <w:t xml:space="preserve"> August, 2026</w:t>
      </w:r>
    </w:p>
    <w:p w14:paraId="69945333" w14:textId="3EEA91D9" w:rsidR="008C03A6" w:rsidRDefault="00F0032A" w:rsidP="008C03A6">
      <w:pPr>
        <w:spacing w:after="160"/>
        <w:rPr>
          <w:b/>
          <w:i/>
          <w:iCs/>
          <w:color w:val="990033"/>
          <w:sz w:val="20"/>
          <w:szCs w:val="20"/>
        </w:rPr>
      </w:pPr>
      <w:r w:rsidRPr="00005331">
        <w:rPr>
          <w:b/>
          <w:bCs/>
          <w:color w:val="990033"/>
          <w:sz w:val="28"/>
          <w:szCs w:val="28"/>
        </w:rPr>
        <w:t>Policy proposition</w:t>
      </w:r>
      <w:r w:rsidRPr="00005331">
        <w:rPr>
          <w:b/>
          <w:bCs/>
          <w:color w:val="990033"/>
        </w:rPr>
        <w:br/>
      </w:r>
      <w:r w:rsidR="008C03A6" w:rsidRPr="008C03A6">
        <w:rPr>
          <w:b/>
          <w:i/>
          <w:iCs/>
          <w:color w:val="990033"/>
          <w:sz w:val="20"/>
          <w:szCs w:val="20"/>
        </w:rPr>
        <w:t>Strengthen community-managed irrigation systems in Gilgit-Baltistan</w:t>
      </w:r>
    </w:p>
    <w:p w14:paraId="40606F6B" w14:textId="660504C1" w:rsidR="008C03A6" w:rsidRPr="008C03A6" w:rsidRDefault="008C03A6" w:rsidP="008C03A6">
      <w:pPr>
        <w:spacing w:after="160"/>
        <w:jc w:val="both"/>
        <w:rPr>
          <w:sz w:val="22"/>
          <w:szCs w:val="28"/>
        </w:rPr>
      </w:pPr>
      <w:r w:rsidRPr="008C03A6">
        <w:rPr>
          <w:sz w:val="22"/>
          <w:szCs w:val="28"/>
        </w:rPr>
        <w:t>Gilgit-Baltistan should reform irrigation governance by formalizing existing customary community-based water institutions as Local Water Management Utilities (LWMUs), combining traditional water-management arrangements with modern technical, financial and administrative systems.</w:t>
      </w:r>
    </w:p>
    <w:p w14:paraId="5A232244" w14:textId="60C35353" w:rsidR="00F0032A" w:rsidRPr="00F0032A" w:rsidRDefault="00F0032A" w:rsidP="00F0032A">
      <w:pPr>
        <w:keepNext/>
        <w:keepLines/>
        <w:spacing w:before="100" w:after="60"/>
        <w:outlineLvl w:val="0"/>
        <w:rPr>
          <w:rFonts w:ascii="Calibri" w:eastAsia="MS Gothic" w:hAnsi="Calibri" w:cs="Times New Roman"/>
          <w:b/>
          <w:bCs/>
          <w:color w:val="1F4E79"/>
          <w:sz w:val="26"/>
          <w:szCs w:val="28"/>
        </w:rPr>
      </w:pPr>
      <w:r w:rsidRPr="00F0032A">
        <w:rPr>
          <w:rFonts w:ascii="Calibri" w:eastAsia="MS Gothic" w:hAnsi="Calibri" w:cs="Times New Roman"/>
          <w:b/>
          <w:bCs/>
          <w:color w:val="1F4E79"/>
          <w:sz w:val="26"/>
          <w:szCs w:val="28"/>
        </w:rPr>
        <w:t>1. Executive Summary</w:t>
      </w:r>
    </w:p>
    <w:p w14:paraId="183ABACC" w14:textId="77777777" w:rsidR="008C03A6" w:rsidRPr="008C03A6" w:rsidRDefault="008C03A6" w:rsidP="008C03A6">
      <w:pPr>
        <w:jc w:val="both"/>
        <w:rPr>
          <w:sz w:val="22"/>
          <w:szCs w:val="28"/>
          <w:lang w:val="en-GB"/>
        </w:rPr>
      </w:pPr>
      <w:r w:rsidRPr="008C03A6">
        <w:rPr>
          <w:sz w:val="22"/>
          <w:szCs w:val="28"/>
          <w:lang w:val="en-GB"/>
        </w:rPr>
        <w:t>Irrigation is the foundation of agriculture and rural settlement in Gilgit-Baltistan, where cultivation depends almost entirely on snowmelt- and glacier-fed systems. More than 90 percent of traditional irrigation infrastructure is managed through customary community arrangements. These systems remain resilient, but aging infrastructure, climate hazards, labor migration, weak routine financing, fragmented public mandates, and limited technical support are placing them under increasing strain.</w:t>
      </w:r>
    </w:p>
    <w:p w14:paraId="519533B2" w14:textId="77777777" w:rsidR="008C03A6" w:rsidRPr="008C03A6" w:rsidRDefault="008C03A6" w:rsidP="008C03A6">
      <w:pPr>
        <w:jc w:val="both"/>
        <w:rPr>
          <w:sz w:val="22"/>
          <w:szCs w:val="28"/>
          <w:lang w:val="en-GB"/>
        </w:rPr>
      </w:pPr>
      <w:r w:rsidRPr="008C03A6">
        <w:rPr>
          <w:sz w:val="22"/>
          <w:szCs w:val="28"/>
          <w:lang w:val="en-GB"/>
        </w:rPr>
        <w:t>The study concludes that sustainable reform should strengthen rather than replace community management. It recommends formalizing customary arrangements as Local Water Management Utilities: hybrid organizations that preserve legitimate traditional rules while adopting modern bylaws, professional O&amp;M, full-time or shared technical capacity, transparent financial management, user service charges, and public subsidies. The Utilities should operate within the Local Government system, supported by the Irrigation Department, GBDMA, and other provincial institutions.</w:t>
      </w:r>
    </w:p>
    <w:p w14:paraId="0CA1AC7D" w14:textId="0E8CFB66" w:rsidR="00F0032A" w:rsidRDefault="00F0032A" w:rsidP="008C03A6">
      <w:pPr>
        <w:keepNext/>
        <w:keepLines/>
        <w:spacing w:before="100" w:after="60"/>
        <w:outlineLvl w:val="0"/>
        <w:rPr>
          <w:rFonts w:ascii="Calibri" w:eastAsia="MS Gothic" w:hAnsi="Calibri" w:cs="Times New Roman"/>
          <w:b/>
          <w:bCs/>
          <w:color w:val="1F4E79"/>
          <w:sz w:val="26"/>
          <w:szCs w:val="28"/>
        </w:rPr>
      </w:pPr>
      <w:r w:rsidRPr="00F0032A">
        <w:rPr>
          <w:rFonts w:ascii="Calibri" w:eastAsia="MS Gothic" w:hAnsi="Calibri" w:cs="Times New Roman"/>
          <w:b/>
          <w:bCs/>
          <w:color w:val="1F4E79"/>
          <w:sz w:val="26"/>
          <w:szCs w:val="28"/>
        </w:rPr>
        <w:t xml:space="preserve">2. Why </w:t>
      </w:r>
      <w:r>
        <w:rPr>
          <w:rFonts w:ascii="Calibri" w:eastAsia="MS Gothic" w:hAnsi="Calibri" w:cs="Times New Roman"/>
          <w:b/>
          <w:bCs/>
          <w:color w:val="1F4E79"/>
          <w:sz w:val="26"/>
          <w:szCs w:val="28"/>
        </w:rPr>
        <w:t xml:space="preserve">this is important </w:t>
      </w:r>
      <w:r w:rsidRPr="00F0032A">
        <w:rPr>
          <w:rFonts w:ascii="Calibri" w:eastAsia="MS Gothic" w:hAnsi="Calibri" w:cs="Times New Roman"/>
          <w:b/>
          <w:bCs/>
          <w:color w:val="1F4E79"/>
          <w:sz w:val="26"/>
          <w:szCs w:val="28"/>
        </w:rPr>
        <w:t>for Gilgit-Baltistan?</w:t>
      </w:r>
    </w:p>
    <w:p w14:paraId="2D88B085" w14:textId="77777777" w:rsidR="008C03A6" w:rsidRPr="008C03A6" w:rsidRDefault="00F0032A" w:rsidP="008C03A6">
      <w:pPr>
        <w:jc w:val="both"/>
        <w:rPr>
          <w:rFonts w:eastAsia="MS Gothic"/>
          <w:sz w:val="22"/>
          <w:szCs w:val="28"/>
        </w:rPr>
      </w:pPr>
      <w:r w:rsidRPr="00F0032A">
        <w:rPr>
          <w:rFonts w:eastAsia="MS Gothic"/>
          <w:sz w:val="22"/>
          <w:szCs w:val="28"/>
        </w:rPr>
        <w:t xml:space="preserve">Gilgit-Baltistan's unique geography at the junction of the Himalaya, Karakoram, and Hindukush mountain </w:t>
      </w:r>
      <w:r w:rsidR="008C03A6" w:rsidRPr="008C03A6">
        <w:rPr>
          <w:rFonts w:eastAsia="MS Gothic"/>
          <w:sz w:val="22"/>
          <w:szCs w:val="28"/>
        </w:rPr>
        <w:t>Gilgit-Baltistan’s high-mountain environment receives little rainfall, and rain-fed agriculture is virtually absent. Communities have therefore constructed and maintained extensive gravity-fed channels across steep and unstable terrain. Customary institutions regulate water turns, mobilize collective labor, resolve disputes, and repair local systems. Irrigation is consequently not only an infrastructure service; it is the basis of food production, livelihoods, settlement, and local cooperation.</w:t>
      </w:r>
    </w:p>
    <w:p w14:paraId="1BF26B4D" w14:textId="77777777" w:rsidR="008C03A6" w:rsidRDefault="008C03A6" w:rsidP="008C03A6">
      <w:pPr>
        <w:jc w:val="both"/>
        <w:rPr>
          <w:rFonts w:eastAsia="MS Gothic"/>
          <w:sz w:val="22"/>
          <w:szCs w:val="28"/>
        </w:rPr>
      </w:pPr>
      <w:r w:rsidRPr="008C03A6">
        <w:rPr>
          <w:rFonts w:eastAsia="MS Gothic"/>
          <w:sz w:val="22"/>
          <w:szCs w:val="28"/>
        </w:rPr>
        <w:t xml:space="preserve">This model is now under pressure. Outmigration and livelihood diversification have reduced voluntary labor, while floods, landslides, GLOFs, sedimentation, and changing seasonal flows are increasing the frequency and technical complexity of repairs. Government engagement remains concentrated on </w:t>
      </w:r>
      <w:r w:rsidRPr="008C03A6">
        <w:rPr>
          <w:rFonts w:eastAsia="MS Gothic"/>
          <w:sz w:val="22"/>
          <w:szCs w:val="28"/>
        </w:rPr>
        <w:lastRenderedPageBreak/>
        <w:t>capital projects and post-disaster rehabilitation. Without institutional reform, routine maintenance will weaken, service interruptions will grow, and public spending will remain reactive rather than preventive.</w:t>
      </w:r>
    </w:p>
    <w:p w14:paraId="25D1C9E5" w14:textId="4C66B9CA" w:rsidR="00F0032A" w:rsidRPr="00F0032A" w:rsidRDefault="00F0032A" w:rsidP="008C03A6">
      <w:pPr>
        <w:jc w:val="both"/>
        <w:rPr>
          <w:rFonts w:ascii="Calibri" w:eastAsia="MS Gothic" w:hAnsi="Calibri" w:cs="Times New Roman"/>
          <w:b/>
          <w:bCs/>
          <w:color w:val="1F4E79"/>
          <w:sz w:val="26"/>
          <w:szCs w:val="26"/>
        </w:rPr>
      </w:pPr>
      <w:r w:rsidRPr="00F0032A">
        <w:rPr>
          <w:rFonts w:ascii="Calibri" w:eastAsia="MS Gothic" w:hAnsi="Calibri" w:cs="Times New Roman"/>
          <w:b/>
          <w:bCs/>
          <w:color w:val="1F4E79"/>
          <w:sz w:val="26"/>
          <w:szCs w:val="26"/>
        </w:rPr>
        <w:t>3. Key evidence</w:t>
      </w:r>
    </w:p>
    <w:tbl>
      <w:tblPr>
        <w:tblStyle w:val="TableGrid"/>
        <w:tblW w:w="9767" w:type="dxa"/>
        <w:tblInd w:w="120"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817"/>
        <w:gridCol w:w="6950"/>
      </w:tblGrid>
      <w:tr w:rsidR="008C03A6" w:rsidRPr="00CC3E2B" w14:paraId="515CFED0" w14:textId="77777777" w:rsidTr="008C03A6">
        <w:trPr>
          <w:trHeight w:val="234"/>
          <w:tblHeader/>
        </w:trPr>
        <w:tc>
          <w:tcPr>
            <w:tcW w:w="2817" w:type="dxa"/>
            <w:shd w:val="clear" w:color="auto" w:fill="1F4E79"/>
            <w:tcMar>
              <w:top w:w="90" w:type="dxa"/>
              <w:left w:w="120" w:type="dxa"/>
              <w:bottom w:w="90" w:type="dxa"/>
              <w:right w:w="120" w:type="dxa"/>
            </w:tcMar>
            <w:vAlign w:val="center"/>
          </w:tcPr>
          <w:p w14:paraId="19BBCDD1" w14:textId="77777777" w:rsidR="008C03A6" w:rsidRPr="00CC3E2B" w:rsidRDefault="008C03A6" w:rsidP="00F81BA5">
            <w:pPr>
              <w:spacing w:after="0"/>
              <w:rPr>
                <w:sz w:val="20"/>
                <w:szCs w:val="24"/>
              </w:rPr>
            </w:pPr>
            <w:r w:rsidRPr="00CC3E2B">
              <w:rPr>
                <w:b/>
                <w:color w:val="FFFFFF"/>
                <w:sz w:val="20"/>
                <w:szCs w:val="24"/>
              </w:rPr>
              <w:t>Finding</w:t>
            </w:r>
          </w:p>
        </w:tc>
        <w:tc>
          <w:tcPr>
            <w:tcW w:w="6950" w:type="dxa"/>
            <w:shd w:val="clear" w:color="auto" w:fill="1F4E79"/>
            <w:tcMar>
              <w:top w:w="90" w:type="dxa"/>
              <w:left w:w="120" w:type="dxa"/>
              <w:bottom w:w="90" w:type="dxa"/>
              <w:right w:w="120" w:type="dxa"/>
            </w:tcMar>
            <w:vAlign w:val="center"/>
          </w:tcPr>
          <w:p w14:paraId="54D38332" w14:textId="590F058F" w:rsidR="008C03A6" w:rsidRPr="00CC3E2B" w:rsidRDefault="008C03A6" w:rsidP="00F81BA5">
            <w:pPr>
              <w:spacing w:after="0"/>
              <w:rPr>
                <w:sz w:val="20"/>
                <w:szCs w:val="24"/>
              </w:rPr>
            </w:pPr>
            <w:r w:rsidRPr="00CC3E2B">
              <w:rPr>
                <w:b/>
                <w:color w:val="FFFFFF"/>
                <w:sz w:val="20"/>
                <w:szCs w:val="24"/>
              </w:rPr>
              <w:t>Key evidence</w:t>
            </w:r>
          </w:p>
        </w:tc>
      </w:tr>
      <w:tr w:rsidR="008C03A6" w:rsidRPr="00CC3E2B" w14:paraId="496FC967" w14:textId="77777777" w:rsidTr="008C03A6">
        <w:trPr>
          <w:trHeight w:val="730"/>
        </w:trPr>
        <w:tc>
          <w:tcPr>
            <w:tcW w:w="2817" w:type="dxa"/>
            <w:tcMar>
              <w:top w:w="90" w:type="dxa"/>
              <w:left w:w="120" w:type="dxa"/>
              <w:bottom w:w="90" w:type="dxa"/>
              <w:right w:w="120" w:type="dxa"/>
            </w:tcMar>
            <w:vAlign w:val="center"/>
          </w:tcPr>
          <w:p w14:paraId="77A84FBF" w14:textId="77777777" w:rsidR="008C03A6" w:rsidRPr="00CC3E2B" w:rsidRDefault="008C03A6" w:rsidP="00F81BA5">
            <w:pPr>
              <w:spacing w:after="0" w:line="252" w:lineRule="auto"/>
              <w:rPr>
                <w:sz w:val="20"/>
                <w:szCs w:val="24"/>
              </w:rPr>
            </w:pPr>
            <w:r w:rsidRPr="00CC3E2B">
              <w:rPr>
                <w:color w:val="222222"/>
                <w:sz w:val="20"/>
                <w:szCs w:val="24"/>
              </w:rPr>
              <w:t>Community management</w:t>
            </w:r>
          </w:p>
        </w:tc>
        <w:tc>
          <w:tcPr>
            <w:tcW w:w="6950" w:type="dxa"/>
            <w:tcMar>
              <w:top w:w="90" w:type="dxa"/>
              <w:left w:w="120" w:type="dxa"/>
              <w:bottom w:w="90" w:type="dxa"/>
              <w:right w:w="120" w:type="dxa"/>
            </w:tcMar>
            <w:vAlign w:val="center"/>
          </w:tcPr>
          <w:p w14:paraId="0F083898" w14:textId="77777777" w:rsidR="008C03A6" w:rsidRPr="00CC3E2B" w:rsidRDefault="008C03A6" w:rsidP="00F81BA5">
            <w:pPr>
              <w:spacing w:after="0" w:line="252" w:lineRule="auto"/>
              <w:rPr>
                <w:sz w:val="20"/>
                <w:szCs w:val="24"/>
              </w:rPr>
            </w:pPr>
            <w:r w:rsidRPr="00CC3E2B">
              <w:rPr>
                <w:color w:val="222222"/>
                <w:sz w:val="20"/>
                <w:szCs w:val="24"/>
              </w:rPr>
              <w:t>More than 90% of traditional irrigation infrastructure is reported as community-owned and managed through customary rules for allocation, maintenance, labor, and dispute resolution.</w:t>
            </w:r>
          </w:p>
        </w:tc>
      </w:tr>
      <w:tr w:rsidR="008C03A6" w:rsidRPr="00CC3E2B" w14:paraId="09B68FF0" w14:textId="77777777" w:rsidTr="008C03A6">
        <w:trPr>
          <w:trHeight w:val="495"/>
        </w:trPr>
        <w:tc>
          <w:tcPr>
            <w:tcW w:w="2817" w:type="dxa"/>
            <w:shd w:val="clear" w:color="auto" w:fill="F8FAFC"/>
            <w:tcMar>
              <w:top w:w="90" w:type="dxa"/>
              <w:left w:w="120" w:type="dxa"/>
              <w:bottom w:w="90" w:type="dxa"/>
              <w:right w:w="120" w:type="dxa"/>
            </w:tcMar>
            <w:vAlign w:val="center"/>
          </w:tcPr>
          <w:p w14:paraId="608E585F" w14:textId="77777777" w:rsidR="008C03A6" w:rsidRPr="00CC3E2B" w:rsidRDefault="008C03A6" w:rsidP="00F81BA5">
            <w:pPr>
              <w:spacing w:after="0" w:line="252" w:lineRule="auto"/>
              <w:rPr>
                <w:sz w:val="20"/>
                <w:szCs w:val="24"/>
              </w:rPr>
            </w:pPr>
            <w:r w:rsidRPr="00CC3E2B">
              <w:rPr>
                <w:color w:val="222222"/>
                <w:sz w:val="20"/>
                <w:szCs w:val="24"/>
              </w:rPr>
              <w:t>Episodic public support</w:t>
            </w:r>
          </w:p>
        </w:tc>
        <w:tc>
          <w:tcPr>
            <w:tcW w:w="6950" w:type="dxa"/>
            <w:shd w:val="clear" w:color="auto" w:fill="F8FAFC"/>
            <w:tcMar>
              <w:top w:w="90" w:type="dxa"/>
              <w:left w:w="120" w:type="dxa"/>
              <w:bottom w:w="90" w:type="dxa"/>
              <w:right w:w="120" w:type="dxa"/>
            </w:tcMar>
            <w:vAlign w:val="center"/>
          </w:tcPr>
          <w:p w14:paraId="4FE11A30" w14:textId="77777777" w:rsidR="008C03A6" w:rsidRPr="00CC3E2B" w:rsidRDefault="008C03A6" w:rsidP="00F81BA5">
            <w:pPr>
              <w:spacing w:after="0" w:line="252" w:lineRule="auto"/>
              <w:rPr>
                <w:sz w:val="20"/>
                <w:szCs w:val="24"/>
              </w:rPr>
            </w:pPr>
            <w:r w:rsidRPr="00CC3E2B">
              <w:rPr>
                <w:color w:val="222222"/>
                <w:sz w:val="20"/>
                <w:szCs w:val="24"/>
              </w:rPr>
              <w:t>Government engagement is concentrated in construction, rehabilitation, and disaster response, with limited routine support across the asset lifecycle.</w:t>
            </w:r>
          </w:p>
        </w:tc>
      </w:tr>
      <w:tr w:rsidR="008C03A6" w:rsidRPr="00CC3E2B" w14:paraId="635C2879" w14:textId="77777777" w:rsidTr="008C03A6">
        <w:trPr>
          <w:trHeight w:val="482"/>
        </w:trPr>
        <w:tc>
          <w:tcPr>
            <w:tcW w:w="2817" w:type="dxa"/>
            <w:tcMar>
              <w:top w:w="90" w:type="dxa"/>
              <w:left w:w="120" w:type="dxa"/>
              <w:bottom w:w="90" w:type="dxa"/>
              <w:right w:w="120" w:type="dxa"/>
            </w:tcMar>
            <w:vAlign w:val="center"/>
          </w:tcPr>
          <w:p w14:paraId="3BBC9E43" w14:textId="77777777" w:rsidR="008C03A6" w:rsidRPr="00CC3E2B" w:rsidRDefault="008C03A6" w:rsidP="00F81BA5">
            <w:pPr>
              <w:spacing w:after="0" w:line="252" w:lineRule="auto"/>
              <w:rPr>
                <w:sz w:val="20"/>
                <w:szCs w:val="24"/>
              </w:rPr>
            </w:pPr>
            <w:r w:rsidRPr="00CC3E2B">
              <w:rPr>
                <w:color w:val="222222"/>
                <w:sz w:val="20"/>
                <w:szCs w:val="24"/>
              </w:rPr>
              <w:t>O&amp;M under strain</w:t>
            </w:r>
          </w:p>
        </w:tc>
        <w:tc>
          <w:tcPr>
            <w:tcW w:w="6950" w:type="dxa"/>
            <w:tcMar>
              <w:top w:w="90" w:type="dxa"/>
              <w:left w:w="120" w:type="dxa"/>
              <w:bottom w:w="90" w:type="dxa"/>
              <w:right w:w="120" w:type="dxa"/>
            </w:tcMar>
            <w:vAlign w:val="center"/>
          </w:tcPr>
          <w:p w14:paraId="4E105365" w14:textId="77777777" w:rsidR="008C03A6" w:rsidRPr="00CC3E2B" w:rsidRDefault="008C03A6" w:rsidP="00F81BA5">
            <w:pPr>
              <w:spacing w:after="0" w:line="252" w:lineRule="auto"/>
              <w:rPr>
                <w:sz w:val="20"/>
                <w:szCs w:val="24"/>
              </w:rPr>
            </w:pPr>
            <w:r w:rsidRPr="00CC3E2B">
              <w:rPr>
                <w:color w:val="222222"/>
                <w:sz w:val="20"/>
                <w:szCs w:val="24"/>
              </w:rPr>
              <w:t>Migration, aging populations, rising cash needs, and complex repairs are weakening reliance on voluntary collective labor alone.</w:t>
            </w:r>
          </w:p>
        </w:tc>
      </w:tr>
      <w:tr w:rsidR="008C03A6" w:rsidRPr="00CC3E2B" w14:paraId="4580DAA4" w14:textId="77777777" w:rsidTr="008C03A6">
        <w:trPr>
          <w:trHeight w:val="495"/>
        </w:trPr>
        <w:tc>
          <w:tcPr>
            <w:tcW w:w="2817" w:type="dxa"/>
            <w:shd w:val="clear" w:color="auto" w:fill="F8FAFC"/>
            <w:tcMar>
              <w:top w:w="90" w:type="dxa"/>
              <w:left w:w="120" w:type="dxa"/>
              <w:bottom w:w="90" w:type="dxa"/>
              <w:right w:w="120" w:type="dxa"/>
            </w:tcMar>
            <w:vAlign w:val="center"/>
          </w:tcPr>
          <w:p w14:paraId="6189A18A" w14:textId="77777777" w:rsidR="008C03A6" w:rsidRPr="00CC3E2B" w:rsidRDefault="008C03A6" w:rsidP="00F81BA5">
            <w:pPr>
              <w:spacing w:after="0" w:line="252" w:lineRule="auto"/>
              <w:rPr>
                <w:sz w:val="20"/>
                <w:szCs w:val="24"/>
              </w:rPr>
            </w:pPr>
            <w:r w:rsidRPr="00CC3E2B">
              <w:rPr>
                <w:color w:val="222222"/>
                <w:sz w:val="20"/>
                <w:szCs w:val="24"/>
              </w:rPr>
              <w:t>Increasing climate exposure</w:t>
            </w:r>
          </w:p>
        </w:tc>
        <w:tc>
          <w:tcPr>
            <w:tcW w:w="6950" w:type="dxa"/>
            <w:shd w:val="clear" w:color="auto" w:fill="F8FAFC"/>
            <w:tcMar>
              <w:top w:w="90" w:type="dxa"/>
              <w:left w:w="120" w:type="dxa"/>
              <w:bottom w:w="90" w:type="dxa"/>
              <w:right w:w="120" w:type="dxa"/>
            </w:tcMar>
            <w:vAlign w:val="center"/>
          </w:tcPr>
          <w:p w14:paraId="78072770" w14:textId="77777777" w:rsidR="008C03A6" w:rsidRPr="00CC3E2B" w:rsidRDefault="008C03A6" w:rsidP="00F81BA5">
            <w:pPr>
              <w:spacing w:after="0" w:line="252" w:lineRule="auto"/>
              <w:rPr>
                <w:sz w:val="20"/>
                <w:szCs w:val="24"/>
              </w:rPr>
            </w:pPr>
            <w:r w:rsidRPr="00CC3E2B">
              <w:rPr>
                <w:color w:val="222222"/>
                <w:sz w:val="20"/>
                <w:szCs w:val="24"/>
              </w:rPr>
              <w:t>Aging channels and intakes face floods, landslides, GLOFs, sedimentation, and seasonal-flow variability that increasingly exceed local capacity.</w:t>
            </w:r>
          </w:p>
        </w:tc>
      </w:tr>
      <w:tr w:rsidR="008C03A6" w:rsidRPr="00CC3E2B" w14:paraId="2A3F5EA7" w14:textId="77777777" w:rsidTr="008C03A6">
        <w:trPr>
          <w:trHeight w:val="482"/>
        </w:trPr>
        <w:tc>
          <w:tcPr>
            <w:tcW w:w="2817" w:type="dxa"/>
            <w:tcMar>
              <w:top w:w="90" w:type="dxa"/>
              <w:left w:w="120" w:type="dxa"/>
              <w:bottom w:w="90" w:type="dxa"/>
              <w:right w:w="120" w:type="dxa"/>
            </w:tcMar>
            <w:vAlign w:val="center"/>
          </w:tcPr>
          <w:p w14:paraId="7B508F3B" w14:textId="77777777" w:rsidR="008C03A6" w:rsidRPr="00CC3E2B" w:rsidRDefault="008C03A6" w:rsidP="00F81BA5">
            <w:pPr>
              <w:spacing w:after="0" w:line="252" w:lineRule="auto"/>
              <w:rPr>
                <w:sz w:val="20"/>
                <w:szCs w:val="24"/>
              </w:rPr>
            </w:pPr>
            <w:r w:rsidRPr="00CC3E2B">
              <w:rPr>
                <w:color w:val="222222"/>
                <w:sz w:val="20"/>
                <w:szCs w:val="24"/>
              </w:rPr>
              <w:t>Limited technology adoption</w:t>
            </w:r>
          </w:p>
        </w:tc>
        <w:tc>
          <w:tcPr>
            <w:tcW w:w="6950" w:type="dxa"/>
            <w:tcMar>
              <w:top w:w="90" w:type="dxa"/>
              <w:left w:w="120" w:type="dxa"/>
              <w:bottom w:w="90" w:type="dxa"/>
              <w:right w:w="120" w:type="dxa"/>
            </w:tcMar>
            <w:vAlign w:val="center"/>
          </w:tcPr>
          <w:p w14:paraId="5C93B97A" w14:textId="77777777" w:rsidR="008C03A6" w:rsidRPr="00CC3E2B" w:rsidRDefault="008C03A6" w:rsidP="00F81BA5">
            <w:pPr>
              <w:spacing w:after="0" w:line="252" w:lineRule="auto"/>
              <w:rPr>
                <w:sz w:val="20"/>
                <w:szCs w:val="24"/>
              </w:rPr>
            </w:pPr>
            <w:r w:rsidRPr="00CC3E2B">
              <w:rPr>
                <w:color w:val="222222"/>
                <w:sz w:val="20"/>
                <w:szCs w:val="24"/>
              </w:rPr>
              <w:t>Modern and digital technologies remain constrained by collective incentives, subsistence production, maintenance capacity, and weak institutional support.</w:t>
            </w:r>
          </w:p>
        </w:tc>
      </w:tr>
      <w:tr w:rsidR="008C03A6" w:rsidRPr="00CC3E2B" w14:paraId="321C4BAE" w14:textId="77777777" w:rsidTr="008C03A6">
        <w:trPr>
          <w:trHeight w:val="495"/>
        </w:trPr>
        <w:tc>
          <w:tcPr>
            <w:tcW w:w="2817" w:type="dxa"/>
            <w:shd w:val="clear" w:color="auto" w:fill="F8FAFC"/>
            <w:tcMar>
              <w:top w:w="90" w:type="dxa"/>
              <w:left w:w="120" w:type="dxa"/>
              <w:bottom w:w="90" w:type="dxa"/>
              <w:right w:w="120" w:type="dxa"/>
            </w:tcMar>
            <w:vAlign w:val="center"/>
          </w:tcPr>
          <w:p w14:paraId="5C1F04A2" w14:textId="77777777" w:rsidR="008C03A6" w:rsidRPr="00CC3E2B" w:rsidRDefault="008C03A6" w:rsidP="00F81BA5">
            <w:pPr>
              <w:spacing w:after="0" w:line="252" w:lineRule="auto"/>
              <w:rPr>
                <w:sz w:val="20"/>
                <w:szCs w:val="24"/>
              </w:rPr>
            </w:pPr>
            <w:r w:rsidRPr="00CC3E2B">
              <w:rPr>
                <w:color w:val="222222"/>
                <w:sz w:val="20"/>
                <w:szCs w:val="24"/>
              </w:rPr>
              <w:t>Incomplete evidence base</w:t>
            </w:r>
          </w:p>
        </w:tc>
        <w:tc>
          <w:tcPr>
            <w:tcW w:w="6950" w:type="dxa"/>
            <w:shd w:val="clear" w:color="auto" w:fill="F8FAFC"/>
            <w:tcMar>
              <w:top w:w="90" w:type="dxa"/>
              <w:left w:w="120" w:type="dxa"/>
              <w:bottom w:w="90" w:type="dxa"/>
              <w:right w:w="120" w:type="dxa"/>
            </w:tcMar>
            <w:vAlign w:val="center"/>
          </w:tcPr>
          <w:p w14:paraId="2D019E22" w14:textId="77777777" w:rsidR="008C03A6" w:rsidRPr="00CC3E2B" w:rsidRDefault="008C03A6" w:rsidP="00F81BA5">
            <w:pPr>
              <w:spacing w:after="0" w:line="252" w:lineRule="auto"/>
              <w:rPr>
                <w:sz w:val="20"/>
                <w:szCs w:val="24"/>
              </w:rPr>
            </w:pPr>
            <w:r w:rsidRPr="00CC3E2B">
              <w:rPr>
                <w:color w:val="222222"/>
                <w:sz w:val="20"/>
                <w:szCs w:val="24"/>
              </w:rPr>
              <w:t>Systematic data on assets, performance, water losses, maintenance costs, financing, and technology outcomes remain limited.</w:t>
            </w:r>
          </w:p>
        </w:tc>
      </w:tr>
    </w:tbl>
    <w:p w14:paraId="2A319E58" w14:textId="77777777" w:rsidR="00C1415B" w:rsidRPr="00C1415B" w:rsidRDefault="00C1415B" w:rsidP="00C1415B">
      <w:pPr>
        <w:keepNext/>
        <w:keepLines/>
        <w:spacing w:before="100" w:after="60"/>
        <w:outlineLvl w:val="0"/>
        <w:rPr>
          <w:rFonts w:ascii="Calibri" w:eastAsia="MS Gothic" w:hAnsi="Calibri" w:cs="Times New Roman"/>
          <w:b/>
          <w:bCs/>
          <w:color w:val="1F4E79"/>
          <w:sz w:val="26"/>
          <w:szCs w:val="28"/>
        </w:rPr>
      </w:pPr>
      <w:r w:rsidRPr="00C1415B">
        <w:rPr>
          <w:rFonts w:ascii="Calibri" w:eastAsia="MS Gothic" w:hAnsi="Calibri" w:cs="Times New Roman"/>
          <w:b/>
          <w:bCs/>
          <w:color w:val="1F4E79"/>
          <w:sz w:val="26"/>
          <w:szCs w:val="28"/>
        </w:rPr>
        <w:t>4. Policy gaps</w:t>
      </w:r>
    </w:p>
    <w:p w14:paraId="7F026BF9" w14:textId="77777777" w:rsidR="00CC3E2B" w:rsidRPr="00CC3E2B" w:rsidRDefault="00CC3E2B" w:rsidP="00CC3E2B">
      <w:pPr>
        <w:pStyle w:val="ListBullet"/>
        <w:numPr>
          <w:ilvl w:val="0"/>
          <w:numId w:val="3"/>
        </w:numPr>
        <w:spacing w:after="80"/>
        <w:ind w:left="360"/>
        <w:jc w:val="both"/>
        <w:rPr>
          <w:rFonts w:ascii="Aptos" w:hAnsi="Aptos"/>
          <w:sz w:val="22"/>
          <w:szCs w:val="24"/>
        </w:rPr>
      </w:pPr>
      <w:r w:rsidRPr="00CC3E2B">
        <w:rPr>
          <w:rFonts w:ascii="Aptos" w:hAnsi="Aptos"/>
          <w:b/>
          <w:color w:val="222222"/>
          <w:sz w:val="22"/>
          <w:szCs w:val="24"/>
        </w:rPr>
        <w:t xml:space="preserve">Legal and institutional gap: </w:t>
      </w:r>
      <w:r w:rsidRPr="00CC3E2B">
        <w:rPr>
          <w:rFonts w:ascii="Aptos" w:hAnsi="Aptos"/>
          <w:color w:val="222222"/>
          <w:sz w:val="22"/>
          <w:szCs w:val="24"/>
        </w:rPr>
        <w:t>customary bodies manage most systems but lack a consistent legal form that protects local authority while enabling professional staff, contracts, accounts, service charges, subsidies, and public oversight.</w:t>
      </w:r>
    </w:p>
    <w:p w14:paraId="1AF53488" w14:textId="77777777" w:rsidR="00CC3E2B" w:rsidRPr="00CC3E2B" w:rsidRDefault="00CC3E2B" w:rsidP="00CC3E2B">
      <w:pPr>
        <w:pStyle w:val="ListBullet"/>
        <w:numPr>
          <w:ilvl w:val="0"/>
          <w:numId w:val="3"/>
        </w:numPr>
        <w:tabs>
          <w:tab w:val="left" w:pos="90"/>
        </w:tabs>
        <w:spacing w:after="80"/>
        <w:ind w:left="360"/>
        <w:jc w:val="both"/>
        <w:rPr>
          <w:rFonts w:ascii="Aptos" w:hAnsi="Aptos"/>
          <w:sz w:val="22"/>
          <w:szCs w:val="24"/>
        </w:rPr>
      </w:pPr>
      <w:r w:rsidRPr="00CC3E2B">
        <w:rPr>
          <w:rFonts w:ascii="Aptos" w:hAnsi="Aptos"/>
          <w:b/>
          <w:color w:val="222222"/>
          <w:sz w:val="22"/>
          <w:szCs w:val="24"/>
        </w:rPr>
        <w:t xml:space="preserve">Local-government gap: </w:t>
      </w:r>
      <w:r w:rsidRPr="00CC3E2B">
        <w:rPr>
          <w:rFonts w:ascii="Aptos" w:hAnsi="Aptos"/>
          <w:color w:val="222222"/>
          <w:sz w:val="22"/>
          <w:szCs w:val="24"/>
        </w:rPr>
        <w:t>irrigation service management is not fully embedded within the Local Government system, and routine O&amp;M lacks predictable local planning and budget provisions.</w:t>
      </w:r>
    </w:p>
    <w:p w14:paraId="4BED0FA9" w14:textId="77777777" w:rsidR="00CC3E2B" w:rsidRPr="00CC3E2B" w:rsidRDefault="00CC3E2B" w:rsidP="00CC3E2B">
      <w:pPr>
        <w:pStyle w:val="ListBullet"/>
        <w:numPr>
          <w:ilvl w:val="0"/>
          <w:numId w:val="3"/>
        </w:numPr>
        <w:spacing w:after="80"/>
        <w:ind w:left="360"/>
        <w:jc w:val="both"/>
        <w:rPr>
          <w:rFonts w:ascii="Aptos" w:hAnsi="Aptos"/>
          <w:sz w:val="22"/>
          <w:szCs w:val="24"/>
        </w:rPr>
      </w:pPr>
      <w:r w:rsidRPr="00CC3E2B">
        <w:rPr>
          <w:rFonts w:ascii="Aptos" w:hAnsi="Aptos"/>
          <w:b/>
          <w:color w:val="222222"/>
          <w:sz w:val="22"/>
          <w:szCs w:val="24"/>
        </w:rPr>
        <w:t xml:space="preserve">O&amp;M financing and capacity gap: </w:t>
      </w:r>
      <w:r w:rsidRPr="00CC3E2B">
        <w:rPr>
          <w:rFonts w:ascii="Aptos" w:hAnsi="Aptos"/>
          <w:color w:val="222222"/>
          <w:sz w:val="22"/>
          <w:szCs w:val="24"/>
        </w:rPr>
        <w:t>voluntary labor remains important, but Utilities do not yet have dependable technical personnel, preventive-maintenance systems, recurrent revenues, or transparent subsidy arrangements.</w:t>
      </w:r>
    </w:p>
    <w:p w14:paraId="607EA075" w14:textId="77777777" w:rsidR="00CC3E2B" w:rsidRPr="00CC3E2B" w:rsidRDefault="00CC3E2B" w:rsidP="00CC3E2B">
      <w:pPr>
        <w:pStyle w:val="ListBullet"/>
        <w:numPr>
          <w:ilvl w:val="0"/>
          <w:numId w:val="3"/>
        </w:numPr>
        <w:spacing w:after="80"/>
        <w:ind w:left="360"/>
        <w:jc w:val="both"/>
        <w:rPr>
          <w:rFonts w:ascii="Aptos" w:hAnsi="Aptos"/>
          <w:sz w:val="22"/>
          <w:szCs w:val="24"/>
        </w:rPr>
      </w:pPr>
      <w:r w:rsidRPr="00CC3E2B">
        <w:rPr>
          <w:rFonts w:ascii="Aptos" w:hAnsi="Aptos"/>
          <w:b/>
          <w:color w:val="222222"/>
          <w:sz w:val="22"/>
          <w:szCs w:val="24"/>
        </w:rPr>
        <w:t xml:space="preserve">Climate-risk gap: </w:t>
      </w:r>
      <w:r w:rsidRPr="00CC3E2B">
        <w:rPr>
          <w:rFonts w:ascii="Aptos" w:hAnsi="Aptos"/>
          <w:color w:val="222222"/>
          <w:sz w:val="22"/>
          <w:szCs w:val="24"/>
        </w:rPr>
        <w:t>vulnerability assessment, preparedness, and restoration arrangements are not systematically integrated with GBDMA and district disaster-management systems.</w:t>
      </w:r>
    </w:p>
    <w:p w14:paraId="74DE8F14" w14:textId="77777777" w:rsidR="00CC3E2B" w:rsidRPr="00CC3E2B" w:rsidRDefault="00CC3E2B" w:rsidP="00CC3E2B">
      <w:pPr>
        <w:pStyle w:val="ListBullet"/>
        <w:numPr>
          <w:ilvl w:val="0"/>
          <w:numId w:val="3"/>
        </w:numPr>
        <w:spacing w:after="80"/>
        <w:ind w:left="360"/>
        <w:jc w:val="both"/>
        <w:rPr>
          <w:rFonts w:ascii="Aptos" w:hAnsi="Aptos"/>
          <w:sz w:val="22"/>
          <w:szCs w:val="24"/>
        </w:rPr>
      </w:pPr>
      <w:r w:rsidRPr="00CC3E2B">
        <w:rPr>
          <w:rFonts w:ascii="Aptos" w:hAnsi="Aptos"/>
          <w:b/>
          <w:color w:val="222222"/>
          <w:sz w:val="22"/>
          <w:szCs w:val="24"/>
        </w:rPr>
        <w:t xml:space="preserve">Technical stewardship gap: </w:t>
      </w:r>
      <w:r w:rsidRPr="00CC3E2B">
        <w:rPr>
          <w:rFonts w:ascii="Aptos" w:hAnsi="Aptos"/>
          <w:color w:val="222222"/>
          <w:sz w:val="22"/>
          <w:szCs w:val="24"/>
        </w:rPr>
        <w:t>the Irrigation Department requires stronger mountain-irrigation design, technology appraisal, climate-resilient engineering, and continuing technical-backstopping capacity.</w:t>
      </w:r>
    </w:p>
    <w:p w14:paraId="2633556F" w14:textId="419BE240" w:rsidR="00C1415B" w:rsidRPr="00CC3E2B" w:rsidRDefault="00CC3E2B" w:rsidP="00CC3E2B">
      <w:pPr>
        <w:pStyle w:val="ListBullet"/>
        <w:numPr>
          <w:ilvl w:val="0"/>
          <w:numId w:val="3"/>
        </w:numPr>
        <w:spacing w:after="80"/>
        <w:ind w:left="360"/>
        <w:jc w:val="both"/>
        <w:rPr>
          <w:rFonts w:ascii="Aptos" w:hAnsi="Aptos"/>
          <w:sz w:val="22"/>
          <w:szCs w:val="24"/>
        </w:rPr>
      </w:pPr>
      <w:r w:rsidRPr="00CC3E2B">
        <w:rPr>
          <w:rFonts w:ascii="Aptos" w:hAnsi="Aptos"/>
          <w:b/>
          <w:color w:val="222222"/>
          <w:sz w:val="22"/>
          <w:szCs w:val="24"/>
        </w:rPr>
        <w:t xml:space="preserve">Information gap: </w:t>
      </w:r>
      <w:r w:rsidRPr="00CC3E2B">
        <w:rPr>
          <w:rFonts w:ascii="Aptos" w:hAnsi="Aptos"/>
          <w:color w:val="222222"/>
          <w:sz w:val="22"/>
          <w:szCs w:val="24"/>
        </w:rPr>
        <w:t>no common asset, service, finance, risk, and performance information system connects communities, Local Governments, and the Irrigation Department.</w:t>
      </w:r>
    </w:p>
    <w:p w14:paraId="22AE816C" w14:textId="77777777" w:rsidR="00C1415B" w:rsidRPr="00C1415B" w:rsidRDefault="00C1415B" w:rsidP="00C1415B">
      <w:pPr>
        <w:keepNext/>
        <w:keepLines/>
        <w:spacing w:before="100" w:after="60"/>
        <w:outlineLvl w:val="0"/>
        <w:rPr>
          <w:rFonts w:ascii="Calibri" w:eastAsia="MS Gothic" w:hAnsi="Calibri" w:cs="Times New Roman"/>
          <w:b/>
          <w:bCs/>
          <w:color w:val="1F4E79"/>
          <w:sz w:val="26"/>
          <w:szCs w:val="28"/>
        </w:rPr>
      </w:pPr>
      <w:r w:rsidRPr="00C1415B">
        <w:rPr>
          <w:rFonts w:ascii="Calibri" w:eastAsia="MS Gothic" w:hAnsi="Calibri" w:cs="Times New Roman"/>
          <w:b/>
          <w:bCs/>
          <w:color w:val="1F4E79"/>
          <w:sz w:val="26"/>
          <w:szCs w:val="28"/>
        </w:rPr>
        <w:t>5. Priority recommendations</w:t>
      </w:r>
    </w:p>
    <w:p w14:paraId="4BC617CE" w14:textId="2F2FEAAB" w:rsidR="00CC3E2B" w:rsidRPr="00CC3E2B" w:rsidRDefault="00CC3E2B" w:rsidP="00CC3E2B">
      <w:pPr>
        <w:jc w:val="both"/>
        <w:rPr>
          <w:b/>
          <w:bCs/>
          <w:i/>
          <w:iCs/>
          <w:sz w:val="22"/>
          <w:szCs w:val="28"/>
        </w:rPr>
      </w:pPr>
      <w:r w:rsidRPr="00CC3E2B">
        <w:rPr>
          <w:b/>
          <w:bCs/>
          <w:i/>
          <w:iCs/>
          <w:sz w:val="22"/>
          <w:szCs w:val="28"/>
        </w:rPr>
        <w:t>5.1 Establish Local Water Management Utilities</w:t>
      </w:r>
      <w:r>
        <w:rPr>
          <w:b/>
          <w:bCs/>
          <w:i/>
          <w:iCs/>
          <w:sz w:val="22"/>
          <w:szCs w:val="28"/>
        </w:rPr>
        <w:t xml:space="preserve">: </w:t>
      </w:r>
      <w:r w:rsidRPr="00CC3E2B">
        <w:rPr>
          <w:sz w:val="22"/>
          <w:szCs w:val="28"/>
        </w:rPr>
        <w:t>Formalize customary irrigation bodies as legally recognized hybrid public-community Utilities. Document traditional rights, water turns, labor obligations, sanctions, and dispute-resolution practices and incorporate them into modern bylaws covering governance, service standards, staffing, finance, audit, inclusion, and grievance handling. Review the Water User’s Associations Act, 2024 and Local Government legislation to determine whether amendments, subsidiary rules, or new legislation are required.</w:t>
      </w:r>
    </w:p>
    <w:p w14:paraId="5F31B621" w14:textId="639B165B" w:rsidR="00CC3E2B" w:rsidRPr="00CC3E2B" w:rsidRDefault="00CC3E2B" w:rsidP="00CC3E2B">
      <w:pPr>
        <w:jc w:val="both"/>
        <w:rPr>
          <w:sz w:val="22"/>
          <w:szCs w:val="28"/>
        </w:rPr>
      </w:pPr>
      <w:r w:rsidRPr="00CC3E2B">
        <w:rPr>
          <w:b/>
          <w:bCs/>
          <w:i/>
          <w:iCs/>
          <w:sz w:val="22"/>
          <w:szCs w:val="28"/>
        </w:rPr>
        <w:t>5.2 Integrate the Utilities into Local Government:</w:t>
      </w:r>
      <w:r>
        <w:rPr>
          <w:sz w:val="22"/>
          <w:szCs w:val="28"/>
        </w:rPr>
        <w:t xml:space="preserve"> </w:t>
      </w:r>
      <w:r w:rsidRPr="00CC3E2B">
        <w:rPr>
          <w:sz w:val="22"/>
          <w:szCs w:val="28"/>
        </w:rPr>
        <w:t>Place recognition, regulation, oversight, and recurrent budget support within the Local Government system while preserving community ownership and operational authority. Define the mandates of Local Governments, LG&amp;RD, the Irrigation Department, Finance, P&amp;D, Agriculture, district administration, and GBDMA. Establish rules-based local budget grants for O&amp;M, resilience, and major repairs.</w:t>
      </w:r>
    </w:p>
    <w:p w14:paraId="51590E1C" w14:textId="04B00924" w:rsidR="00CC3E2B" w:rsidRPr="00CC3E2B" w:rsidRDefault="00CC3E2B" w:rsidP="00CC3E2B">
      <w:pPr>
        <w:jc w:val="both"/>
        <w:rPr>
          <w:bCs/>
          <w:sz w:val="22"/>
          <w:szCs w:val="28"/>
        </w:rPr>
      </w:pPr>
      <w:r w:rsidRPr="00CC3E2B">
        <w:rPr>
          <w:b/>
          <w:bCs/>
          <w:i/>
          <w:iCs/>
          <w:sz w:val="22"/>
          <w:szCs w:val="28"/>
        </w:rPr>
        <w:t>5.3 Professionalize routine O&amp;M:</w:t>
      </w:r>
      <w:r>
        <w:rPr>
          <w:bCs/>
          <w:sz w:val="22"/>
          <w:szCs w:val="28"/>
        </w:rPr>
        <w:t xml:space="preserve"> </w:t>
      </w:r>
      <w:r w:rsidRPr="00CC3E2B">
        <w:rPr>
          <w:sz w:val="22"/>
          <w:szCs w:val="28"/>
        </w:rPr>
        <w:t>Make regular and preventive O&amp;M the Utilities’ primary mandate. Require annual operating and maintenance plans, asset and repair records, inspections, water-distribution management, and rapid fault response. Each Utility should employ, share, or contract qualified technical and management staff. Recurrent services should be financed through locally determined user service charges, recorded community contributions where appropriate, and predictable public subsidies reflecting affordability, remoteness, climate exposure, and technical complexity.</w:t>
      </w:r>
    </w:p>
    <w:p w14:paraId="069C5209" w14:textId="6CB9FD09" w:rsidR="00CC3E2B" w:rsidRPr="00CC3E2B" w:rsidRDefault="00CC3E2B" w:rsidP="00CC3E2B">
      <w:pPr>
        <w:jc w:val="both"/>
        <w:rPr>
          <w:bCs/>
          <w:sz w:val="22"/>
          <w:szCs w:val="28"/>
        </w:rPr>
      </w:pPr>
      <w:r w:rsidRPr="00CC3E2B">
        <w:rPr>
          <w:b/>
          <w:bCs/>
          <w:i/>
          <w:iCs/>
          <w:sz w:val="22"/>
          <w:szCs w:val="28"/>
        </w:rPr>
        <w:t>5.4. Institutionalize climate-risk management:</w:t>
      </w:r>
      <w:r>
        <w:rPr>
          <w:bCs/>
          <w:sz w:val="22"/>
          <w:szCs w:val="28"/>
        </w:rPr>
        <w:t xml:space="preserve"> </w:t>
      </w:r>
      <w:r w:rsidRPr="00CC3E2B">
        <w:rPr>
          <w:sz w:val="22"/>
          <w:szCs w:val="28"/>
        </w:rPr>
        <w:t>Require each Utility to prepare and periodically update a vulnerability and risk assessment with GBDMA, district authorities, Local Government, and the Irrigation Department. Translate assessments into prioritized resilience works, preventive actions, contingency plans, emergency responsibilities, and restoration protocols, backed by dedicated public financing for works beyond local capacity.</w:t>
      </w:r>
    </w:p>
    <w:p w14:paraId="4C498F72" w14:textId="4CC5DDD6" w:rsidR="00CC3E2B" w:rsidRPr="00CC3E2B" w:rsidRDefault="00CC3E2B" w:rsidP="00CC3E2B">
      <w:pPr>
        <w:jc w:val="both"/>
        <w:rPr>
          <w:bCs/>
          <w:sz w:val="22"/>
          <w:szCs w:val="28"/>
        </w:rPr>
      </w:pPr>
      <w:r w:rsidRPr="00CC3E2B">
        <w:rPr>
          <w:b/>
          <w:bCs/>
          <w:i/>
          <w:iCs/>
          <w:sz w:val="22"/>
          <w:szCs w:val="28"/>
        </w:rPr>
        <w:t>5.5. Strengthen Irrigation Department technical capacity:</w:t>
      </w:r>
      <w:r>
        <w:rPr>
          <w:bCs/>
          <w:sz w:val="22"/>
          <w:szCs w:val="28"/>
        </w:rPr>
        <w:t xml:space="preserve"> </w:t>
      </w:r>
      <w:r w:rsidRPr="00CC3E2B">
        <w:rPr>
          <w:sz w:val="22"/>
          <w:szCs w:val="28"/>
        </w:rPr>
        <w:t>Position the Irrigation Department as the province-wide technical steward. Build specialist capacity in mountain hydrology, geotechnical risk, intake and channel design, storage, gravity-fed piping, solar lift systems, appropriate micro-irrigation, and climate-resilient engineering. Provide Utilities with accessible diagnostics, designs, procurement specifications, construction supervision, technology appraisal, and support for complex repairs.</w:t>
      </w:r>
    </w:p>
    <w:p w14:paraId="0472230E" w14:textId="28D2214E" w:rsidR="00C1415B" w:rsidRPr="00CC3E2B" w:rsidRDefault="00CC3E2B" w:rsidP="00CC3E2B">
      <w:pPr>
        <w:jc w:val="both"/>
        <w:rPr>
          <w:bCs/>
          <w:sz w:val="22"/>
          <w:szCs w:val="28"/>
        </w:rPr>
      </w:pPr>
      <w:r w:rsidRPr="00CC3E2B">
        <w:rPr>
          <w:b/>
          <w:bCs/>
          <w:i/>
          <w:iCs/>
          <w:sz w:val="22"/>
          <w:szCs w:val="28"/>
        </w:rPr>
        <w:t xml:space="preserve">5.6. Establish an irrigation information and learning system: </w:t>
      </w:r>
      <w:r w:rsidRPr="00CC3E2B">
        <w:rPr>
          <w:sz w:val="22"/>
          <w:szCs w:val="28"/>
        </w:rPr>
        <w:t>Create a georeferenced registry and performance system jointly maintained by the Irrigation Department, Local Governments, and Utilities. Record assets, users, condition, hazards, service reliability, failures, maintenance costs, user charges, subsidies, water losses where measurable, technology performance, and rehabilitation history. Use the evidence to prioritize investment, benchmark services, target technical support, and refine policy.</w:t>
      </w:r>
    </w:p>
    <w:p w14:paraId="52682630" w14:textId="77777777" w:rsidR="00C1415B" w:rsidRPr="00C1415B" w:rsidRDefault="00C1415B" w:rsidP="00C1415B">
      <w:pPr>
        <w:keepNext/>
        <w:keepLines/>
        <w:spacing w:before="100" w:after="60"/>
        <w:outlineLvl w:val="0"/>
        <w:rPr>
          <w:rFonts w:ascii="Calibri" w:eastAsia="MS Gothic" w:hAnsi="Calibri" w:cs="Times New Roman"/>
          <w:b/>
          <w:bCs/>
          <w:color w:val="1F4E79"/>
          <w:sz w:val="26"/>
          <w:szCs w:val="28"/>
        </w:rPr>
      </w:pPr>
      <w:r w:rsidRPr="00C1415B">
        <w:rPr>
          <w:rFonts w:ascii="Calibri" w:eastAsia="MS Gothic" w:hAnsi="Calibri" w:cs="Times New Roman"/>
          <w:b/>
          <w:bCs/>
          <w:color w:val="1F4E79"/>
          <w:sz w:val="26"/>
          <w:szCs w:val="28"/>
        </w:rPr>
        <w:t>6. Implementation roadmap</w:t>
      </w:r>
    </w:p>
    <w:p w14:paraId="4FF4B429" w14:textId="77777777" w:rsidR="00CC3E2B" w:rsidRPr="00CC3E2B" w:rsidRDefault="00CC3E2B" w:rsidP="00CC3E2B">
      <w:pPr>
        <w:jc w:val="both"/>
        <w:rPr>
          <w:sz w:val="22"/>
          <w:szCs w:val="28"/>
        </w:rPr>
      </w:pPr>
      <w:r w:rsidRPr="00CC3E2B">
        <w:rPr>
          <w:color w:val="222222"/>
          <w:sz w:val="22"/>
          <w:szCs w:val="28"/>
        </w:rPr>
        <w:t>Implementation should be phased and learning-oriented rather than imposed province-wide at the outset.</w:t>
      </w:r>
    </w:p>
    <w:tbl>
      <w:tblPr>
        <w:tblStyle w:val="TableGrid"/>
        <w:tblW w:w="9810" w:type="dxa"/>
        <w:tblInd w:w="-6" w:type="dxa"/>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026"/>
        <w:gridCol w:w="7784"/>
      </w:tblGrid>
      <w:tr w:rsidR="00CC3E2B" w:rsidRPr="00CC3E2B" w14:paraId="15587A57" w14:textId="77777777" w:rsidTr="007B5AE2">
        <w:trPr>
          <w:tblHeader/>
        </w:trPr>
        <w:tc>
          <w:tcPr>
            <w:tcW w:w="2026" w:type="dxa"/>
            <w:shd w:val="clear" w:color="auto" w:fill="1F4E79"/>
            <w:tcMar>
              <w:top w:w="90" w:type="dxa"/>
              <w:left w:w="120" w:type="dxa"/>
              <w:bottom w:w="90" w:type="dxa"/>
              <w:right w:w="120" w:type="dxa"/>
            </w:tcMar>
            <w:vAlign w:val="center"/>
          </w:tcPr>
          <w:p w14:paraId="79B078C2" w14:textId="77777777" w:rsidR="00CC3E2B" w:rsidRPr="00CC3E2B" w:rsidRDefault="00CC3E2B" w:rsidP="00F81BA5">
            <w:pPr>
              <w:spacing w:after="0"/>
              <w:rPr>
                <w:sz w:val="20"/>
                <w:szCs w:val="24"/>
              </w:rPr>
            </w:pPr>
            <w:r w:rsidRPr="00CC3E2B">
              <w:rPr>
                <w:b/>
                <w:color w:val="FFFFFF"/>
                <w:sz w:val="20"/>
                <w:szCs w:val="24"/>
              </w:rPr>
              <w:t>Phase</w:t>
            </w:r>
          </w:p>
        </w:tc>
        <w:tc>
          <w:tcPr>
            <w:tcW w:w="7784" w:type="dxa"/>
            <w:shd w:val="clear" w:color="auto" w:fill="1F4E79"/>
            <w:tcMar>
              <w:top w:w="90" w:type="dxa"/>
              <w:left w:w="120" w:type="dxa"/>
              <w:bottom w:w="90" w:type="dxa"/>
              <w:right w:w="120" w:type="dxa"/>
            </w:tcMar>
            <w:vAlign w:val="center"/>
          </w:tcPr>
          <w:p w14:paraId="0215B1F3" w14:textId="77777777" w:rsidR="00CC3E2B" w:rsidRPr="00CC3E2B" w:rsidRDefault="00CC3E2B" w:rsidP="00F81BA5">
            <w:pPr>
              <w:spacing w:after="0"/>
              <w:rPr>
                <w:sz w:val="20"/>
                <w:szCs w:val="24"/>
              </w:rPr>
            </w:pPr>
            <w:r w:rsidRPr="00CC3E2B">
              <w:rPr>
                <w:b/>
                <w:color w:val="FFFFFF"/>
                <w:sz w:val="20"/>
                <w:szCs w:val="24"/>
              </w:rPr>
              <w:t>Principal actions</w:t>
            </w:r>
          </w:p>
        </w:tc>
      </w:tr>
      <w:tr w:rsidR="00CC3E2B" w:rsidRPr="00CC3E2B" w14:paraId="0ED4BBD8" w14:textId="77777777" w:rsidTr="007B5AE2">
        <w:tc>
          <w:tcPr>
            <w:tcW w:w="2026" w:type="dxa"/>
            <w:tcMar>
              <w:top w:w="90" w:type="dxa"/>
              <w:left w:w="120" w:type="dxa"/>
              <w:bottom w:w="90" w:type="dxa"/>
              <w:right w:w="120" w:type="dxa"/>
            </w:tcMar>
            <w:vAlign w:val="center"/>
          </w:tcPr>
          <w:p w14:paraId="7E5A24E2" w14:textId="7946AE37" w:rsidR="00CC3E2B" w:rsidRPr="00CC3E2B" w:rsidRDefault="00135A61" w:rsidP="00F81BA5">
            <w:pPr>
              <w:spacing w:after="0" w:line="252" w:lineRule="auto"/>
              <w:rPr>
                <w:b/>
                <w:bCs/>
                <w:sz w:val="20"/>
                <w:szCs w:val="24"/>
              </w:rPr>
            </w:pPr>
            <w:r>
              <w:rPr>
                <w:b/>
                <w:bCs/>
                <w:color w:val="222222"/>
                <w:sz w:val="20"/>
                <w:szCs w:val="24"/>
              </w:rPr>
              <w:t>Phase-1:</w:t>
            </w:r>
            <w:r w:rsidR="00CC3E2B" w:rsidRPr="00CC3E2B">
              <w:rPr>
                <w:b/>
                <w:bCs/>
                <w:color w:val="222222"/>
                <w:sz w:val="20"/>
                <w:szCs w:val="24"/>
              </w:rPr>
              <w:t xml:space="preserve"> Foundation</w:t>
            </w:r>
          </w:p>
        </w:tc>
        <w:tc>
          <w:tcPr>
            <w:tcW w:w="7784" w:type="dxa"/>
            <w:tcMar>
              <w:top w:w="90" w:type="dxa"/>
              <w:left w:w="120" w:type="dxa"/>
              <w:bottom w:w="90" w:type="dxa"/>
              <w:right w:w="120" w:type="dxa"/>
            </w:tcMar>
            <w:vAlign w:val="center"/>
          </w:tcPr>
          <w:p w14:paraId="6345FBAB" w14:textId="77777777" w:rsidR="00CC3E2B" w:rsidRPr="00CC3E2B" w:rsidRDefault="00CC3E2B" w:rsidP="00F81BA5">
            <w:pPr>
              <w:spacing w:after="0" w:line="252" w:lineRule="auto"/>
              <w:rPr>
                <w:sz w:val="20"/>
                <w:szCs w:val="24"/>
              </w:rPr>
            </w:pPr>
            <w:r w:rsidRPr="00CC3E2B">
              <w:rPr>
                <w:color w:val="222222"/>
                <w:sz w:val="20"/>
                <w:szCs w:val="24"/>
              </w:rPr>
              <w:t>Document customary systems; review legislation; define the Utility legal form, model bylaws, Local Government oversight, departmental roles, staffing norms, service-charge and subsidy rules, safeguards, and common data standards.</w:t>
            </w:r>
          </w:p>
        </w:tc>
      </w:tr>
      <w:tr w:rsidR="00CC3E2B" w:rsidRPr="00CC3E2B" w14:paraId="4E35AB80" w14:textId="77777777" w:rsidTr="007B5AE2">
        <w:tc>
          <w:tcPr>
            <w:tcW w:w="2026" w:type="dxa"/>
            <w:shd w:val="clear" w:color="auto" w:fill="F8FAFC"/>
            <w:tcMar>
              <w:top w:w="90" w:type="dxa"/>
              <w:left w:w="120" w:type="dxa"/>
              <w:bottom w:w="90" w:type="dxa"/>
              <w:right w:w="120" w:type="dxa"/>
            </w:tcMar>
            <w:vAlign w:val="center"/>
          </w:tcPr>
          <w:p w14:paraId="12371674" w14:textId="2573117F" w:rsidR="00CC3E2B" w:rsidRPr="00CC3E2B" w:rsidRDefault="00135A61" w:rsidP="00F81BA5">
            <w:pPr>
              <w:spacing w:after="0" w:line="252" w:lineRule="auto"/>
              <w:rPr>
                <w:b/>
                <w:bCs/>
                <w:sz w:val="20"/>
                <w:szCs w:val="24"/>
              </w:rPr>
            </w:pPr>
            <w:r>
              <w:rPr>
                <w:b/>
                <w:bCs/>
                <w:color w:val="222222"/>
                <w:sz w:val="20"/>
                <w:szCs w:val="24"/>
              </w:rPr>
              <w:t>Phase-</w:t>
            </w:r>
            <w:r w:rsidR="00CC3E2B" w:rsidRPr="00CC3E2B">
              <w:rPr>
                <w:b/>
                <w:bCs/>
                <w:color w:val="222222"/>
                <w:sz w:val="20"/>
                <w:szCs w:val="24"/>
              </w:rPr>
              <w:t>2. Pilot establishment</w:t>
            </w:r>
          </w:p>
        </w:tc>
        <w:tc>
          <w:tcPr>
            <w:tcW w:w="7784" w:type="dxa"/>
            <w:shd w:val="clear" w:color="auto" w:fill="F8FAFC"/>
            <w:tcMar>
              <w:top w:w="90" w:type="dxa"/>
              <w:left w:w="120" w:type="dxa"/>
              <w:bottom w:w="90" w:type="dxa"/>
              <w:right w:w="120" w:type="dxa"/>
            </w:tcMar>
            <w:vAlign w:val="center"/>
          </w:tcPr>
          <w:p w14:paraId="66651078" w14:textId="77777777" w:rsidR="00CC3E2B" w:rsidRPr="00CC3E2B" w:rsidRDefault="00CC3E2B" w:rsidP="00F81BA5">
            <w:pPr>
              <w:spacing w:after="0" w:line="252" w:lineRule="auto"/>
              <w:rPr>
                <w:sz w:val="20"/>
                <w:szCs w:val="24"/>
              </w:rPr>
            </w:pPr>
            <w:r w:rsidRPr="00CC3E2B">
              <w:rPr>
                <w:color w:val="222222"/>
                <w:sz w:val="20"/>
                <w:szCs w:val="24"/>
              </w:rPr>
              <w:t>Select approximately ten diverse district sites; legally constitute Utilities; recruit or contract technical capacity; prepare O&amp;M, financial, asset, inclusion, and vulnerability plans; and establish baseline data.</w:t>
            </w:r>
          </w:p>
        </w:tc>
      </w:tr>
      <w:tr w:rsidR="00CC3E2B" w:rsidRPr="00CC3E2B" w14:paraId="601A8F57" w14:textId="77777777" w:rsidTr="007B5AE2">
        <w:tc>
          <w:tcPr>
            <w:tcW w:w="2026" w:type="dxa"/>
            <w:tcMar>
              <w:top w:w="90" w:type="dxa"/>
              <w:left w:w="120" w:type="dxa"/>
              <w:bottom w:w="90" w:type="dxa"/>
              <w:right w:w="120" w:type="dxa"/>
            </w:tcMar>
            <w:vAlign w:val="center"/>
          </w:tcPr>
          <w:p w14:paraId="7C013A84" w14:textId="0B659358" w:rsidR="00CC3E2B" w:rsidRPr="00CC3E2B" w:rsidRDefault="00135A61" w:rsidP="00F81BA5">
            <w:pPr>
              <w:spacing w:after="0" w:line="252" w:lineRule="auto"/>
              <w:rPr>
                <w:b/>
                <w:bCs/>
                <w:sz w:val="20"/>
                <w:szCs w:val="24"/>
              </w:rPr>
            </w:pPr>
            <w:r>
              <w:rPr>
                <w:b/>
                <w:bCs/>
                <w:color w:val="222222"/>
                <w:sz w:val="20"/>
                <w:szCs w:val="24"/>
              </w:rPr>
              <w:t>Phase-3:</w:t>
            </w:r>
            <w:r w:rsidR="00CC3E2B" w:rsidRPr="00CC3E2B">
              <w:rPr>
                <w:b/>
                <w:bCs/>
                <w:color w:val="222222"/>
                <w:sz w:val="20"/>
                <w:szCs w:val="24"/>
              </w:rPr>
              <w:t xml:space="preserve"> Operational testing</w:t>
            </w:r>
          </w:p>
        </w:tc>
        <w:tc>
          <w:tcPr>
            <w:tcW w:w="7784" w:type="dxa"/>
            <w:tcMar>
              <w:top w:w="90" w:type="dxa"/>
              <w:left w:w="120" w:type="dxa"/>
              <w:bottom w:w="90" w:type="dxa"/>
              <w:right w:w="120" w:type="dxa"/>
            </w:tcMar>
            <w:vAlign w:val="center"/>
          </w:tcPr>
          <w:p w14:paraId="562EE52B" w14:textId="77777777" w:rsidR="00CC3E2B" w:rsidRPr="00CC3E2B" w:rsidRDefault="00CC3E2B" w:rsidP="00F81BA5">
            <w:pPr>
              <w:spacing w:after="0" w:line="252" w:lineRule="auto"/>
              <w:rPr>
                <w:sz w:val="20"/>
                <w:szCs w:val="24"/>
              </w:rPr>
            </w:pPr>
            <w:r w:rsidRPr="00CC3E2B">
              <w:rPr>
                <w:color w:val="222222"/>
                <w:sz w:val="20"/>
                <w:szCs w:val="24"/>
              </w:rPr>
              <w:t>Implement professional O&amp;M, charge and subsidy systems, local-government oversight, Irrigation Department technical support, GBDMA coordination, and routine performance reporting.</w:t>
            </w:r>
          </w:p>
        </w:tc>
      </w:tr>
      <w:tr w:rsidR="00CC3E2B" w:rsidRPr="00CC3E2B" w14:paraId="444ECD14" w14:textId="77777777" w:rsidTr="007B5AE2">
        <w:tc>
          <w:tcPr>
            <w:tcW w:w="2026" w:type="dxa"/>
            <w:shd w:val="clear" w:color="auto" w:fill="F8FAFC"/>
            <w:tcMar>
              <w:top w:w="90" w:type="dxa"/>
              <w:left w:w="120" w:type="dxa"/>
              <w:bottom w:w="90" w:type="dxa"/>
              <w:right w:w="120" w:type="dxa"/>
            </w:tcMar>
            <w:vAlign w:val="center"/>
          </w:tcPr>
          <w:p w14:paraId="75F9EBF2" w14:textId="075087E0" w:rsidR="00CC3E2B" w:rsidRPr="00CC3E2B" w:rsidRDefault="00135A61" w:rsidP="00F81BA5">
            <w:pPr>
              <w:spacing w:after="0" w:line="252" w:lineRule="auto"/>
              <w:rPr>
                <w:b/>
                <w:bCs/>
                <w:sz w:val="20"/>
                <w:szCs w:val="24"/>
              </w:rPr>
            </w:pPr>
            <w:r>
              <w:rPr>
                <w:b/>
                <w:bCs/>
                <w:color w:val="222222"/>
                <w:sz w:val="20"/>
                <w:szCs w:val="24"/>
              </w:rPr>
              <w:t xml:space="preserve">Phase-4: </w:t>
            </w:r>
            <w:r w:rsidR="00CC3E2B" w:rsidRPr="00CC3E2B">
              <w:rPr>
                <w:b/>
                <w:bCs/>
                <w:color w:val="222222"/>
                <w:sz w:val="20"/>
                <w:szCs w:val="24"/>
              </w:rPr>
              <w:t>Evaluation and adaptation</w:t>
            </w:r>
          </w:p>
        </w:tc>
        <w:tc>
          <w:tcPr>
            <w:tcW w:w="7784" w:type="dxa"/>
            <w:shd w:val="clear" w:color="auto" w:fill="F8FAFC"/>
            <w:tcMar>
              <w:top w:w="90" w:type="dxa"/>
              <w:left w:w="120" w:type="dxa"/>
              <w:bottom w:w="90" w:type="dxa"/>
              <w:right w:w="120" w:type="dxa"/>
            </w:tcMar>
            <w:vAlign w:val="center"/>
          </w:tcPr>
          <w:p w14:paraId="0FDD9FF9" w14:textId="77777777" w:rsidR="00CC3E2B" w:rsidRPr="00CC3E2B" w:rsidRDefault="00CC3E2B" w:rsidP="00F81BA5">
            <w:pPr>
              <w:spacing w:after="0" w:line="252" w:lineRule="auto"/>
              <w:rPr>
                <w:sz w:val="20"/>
                <w:szCs w:val="24"/>
              </w:rPr>
            </w:pPr>
            <w:r w:rsidRPr="00CC3E2B">
              <w:rPr>
                <w:color w:val="222222"/>
                <w:sz w:val="20"/>
                <w:szCs w:val="24"/>
              </w:rPr>
              <w:t>Assess service reliability, maintenance performance, finances, affordability, inclusion, risk preparedness, institutional mandates, and technical support. Revise legislation, bylaws, staffing, and financing formulas.</w:t>
            </w:r>
          </w:p>
        </w:tc>
      </w:tr>
      <w:tr w:rsidR="00CC3E2B" w:rsidRPr="00CC3E2B" w14:paraId="709086E4" w14:textId="77777777" w:rsidTr="007B5AE2">
        <w:tc>
          <w:tcPr>
            <w:tcW w:w="2026" w:type="dxa"/>
            <w:tcMar>
              <w:top w:w="90" w:type="dxa"/>
              <w:left w:w="120" w:type="dxa"/>
              <w:bottom w:w="90" w:type="dxa"/>
              <w:right w:w="120" w:type="dxa"/>
            </w:tcMar>
            <w:vAlign w:val="center"/>
          </w:tcPr>
          <w:p w14:paraId="1E1E45E5" w14:textId="6129A093" w:rsidR="00CC3E2B" w:rsidRPr="00CC3E2B" w:rsidRDefault="00135A61" w:rsidP="00F81BA5">
            <w:pPr>
              <w:spacing w:after="0" w:line="252" w:lineRule="auto"/>
              <w:rPr>
                <w:b/>
                <w:bCs/>
                <w:sz w:val="20"/>
                <w:szCs w:val="24"/>
              </w:rPr>
            </w:pPr>
            <w:r>
              <w:rPr>
                <w:b/>
                <w:bCs/>
                <w:color w:val="222222"/>
                <w:sz w:val="20"/>
                <w:szCs w:val="24"/>
              </w:rPr>
              <w:t xml:space="preserve">Phase-5: </w:t>
            </w:r>
            <w:r w:rsidR="00CC3E2B" w:rsidRPr="00CC3E2B">
              <w:rPr>
                <w:b/>
                <w:bCs/>
                <w:color w:val="222222"/>
                <w:sz w:val="20"/>
                <w:szCs w:val="24"/>
              </w:rPr>
              <w:t>Gradual scaling</w:t>
            </w:r>
          </w:p>
        </w:tc>
        <w:tc>
          <w:tcPr>
            <w:tcW w:w="7784" w:type="dxa"/>
            <w:tcMar>
              <w:top w:w="90" w:type="dxa"/>
              <w:left w:w="120" w:type="dxa"/>
              <w:bottom w:w="90" w:type="dxa"/>
              <w:right w:w="120" w:type="dxa"/>
            </w:tcMar>
            <w:vAlign w:val="center"/>
          </w:tcPr>
          <w:p w14:paraId="0A6C1C90" w14:textId="77777777" w:rsidR="00CC3E2B" w:rsidRPr="00CC3E2B" w:rsidRDefault="00CC3E2B" w:rsidP="00F81BA5">
            <w:pPr>
              <w:spacing w:after="0" w:line="252" w:lineRule="auto"/>
              <w:rPr>
                <w:sz w:val="20"/>
                <w:szCs w:val="24"/>
              </w:rPr>
            </w:pPr>
            <w:r w:rsidRPr="00CC3E2B">
              <w:rPr>
                <w:color w:val="222222"/>
                <w:sz w:val="20"/>
                <w:szCs w:val="24"/>
              </w:rPr>
              <w:t>Extend proven arrangements through the Local Government system while allowing local bylaws and operating practices to reflect legitimate customary variations.</w:t>
            </w:r>
          </w:p>
        </w:tc>
      </w:tr>
    </w:tbl>
    <w:p w14:paraId="009829FE" w14:textId="60FCF744" w:rsidR="00C1415B" w:rsidRPr="00C1415B" w:rsidRDefault="00C1415B" w:rsidP="00C1415B">
      <w:pPr>
        <w:keepNext/>
        <w:keepLines/>
        <w:spacing w:before="100" w:after="60"/>
        <w:outlineLvl w:val="0"/>
        <w:rPr>
          <w:rFonts w:ascii="Calibri" w:eastAsia="MS Gothic" w:hAnsi="Calibri" w:cs="Times New Roman"/>
          <w:b/>
          <w:bCs/>
          <w:color w:val="1F4E79"/>
          <w:sz w:val="26"/>
          <w:szCs w:val="28"/>
        </w:rPr>
      </w:pPr>
      <w:r w:rsidRPr="00C1415B">
        <w:rPr>
          <w:rFonts w:ascii="Calibri" w:eastAsia="MS Gothic" w:hAnsi="Calibri" w:cs="Times New Roman"/>
          <w:b/>
          <w:bCs/>
          <w:color w:val="1F4E79"/>
          <w:sz w:val="26"/>
          <w:szCs w:val="28"/>
        </w:rPr>
        <w:t>7. Expected outcomes</w:t>
      </w:r>
    </w:p>
    <w:p w14:paraId="4D3399CA" w14:textId="1B248AAD" w:rsidR="00135A61" w:rsidRPr="00135A61" w:rsidRDefault="007B5AE2" w:rsidP="00135A61">
      <w:pPr>
        <w:spacing w:line="264" w:lineRule="auto"/>
        <w:contextualSpacing/>
        <w:jc w:val="both"/>
        <w:rPr>
          <w:rFonts w:eastAsia="MS Mincho" w:cs="Times New Roman"/>
          <w:sz w:val="22"/>
          <w:szCs w:val="24"/>
        </w:rPr>
      </w:pPr>
      <w:r>
        <w:rPr>
          <w:rFonts w:eastAsia="MS Mincho" w:cs="Times New Roman"/>
          <w:b/>
          <w:color w:val="222222"/>
          <w:sz w:val="22"/>
          <w:szCs w:val="24"/>
        </w:rPr>
        <w:t xml:space="preserve">(a)  </w:t>
      </w:r>
      <w:r w:rsidR="00135A61" w:rsidRPr="00135A61">
        <w:rPr>
          <w:rFonts w:eastAsia="MS Mincho" w:cs="Times New Roman"/>
          <w:b/>
          <w:color w:val="222222"/>
          <w:sz w:val="22"/>
          <w:szCs w:val="24"/>
        </w:rPr>
        <w:t xml:space="preserve">Reliable irrigation services: </w:t>
      </w:r>
      <w:r w:rsidR="00135A61" w:rsidRPr="00135A61">
        <w:rPr>
          <w:rFonts w:eastAsia="MS Mincho" w:cs="Times New Roman"/>
          <w:color w:val="222222"/>
          <w:sz w:val="22"/>
          <w:szCs w:val="24"/>
        </w:rPr>
        <w:t>more systematic preventive maintenance, faster repairs, and fewer prolonged seasonal interruptions.</w:t>
      </w:r>
    </w:p>
    <w:p w14:paraId="4F9FB63F" w14:textId="7C511300"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(b)</w:t>
      </w:r>
      <w:r>
        <w:rPr>
          <w:rFonts w:eastAsia="MS Mincho" w:cs="Times New Roman"/>
          <w:b/>
          <w:color w:val="222222"/>
          <w:sz w:val="22"/>
          <w:szCs w:val="24"/>
        </w:rPr>
        <w:tab/>
      </w:r>
      <w:r w:rsidR="00135A61" w:rsidRPr="00135A61">
        <w:rPr>
          <w:rFonts w:eastAsia="MS Mincho" w:cs="Times New Roman"/>
          <w:b/>
          <w:color w:val="222222"/>
          <w:sz w:val="22"/>
          <w:szCs w:val="24"/>
        </w:rPr>
        <w:t xml:space="preserve">Stronger local institutions: </w:t>
      </w:r>
      <w:r w:rsidR="00135A61" w:rsidRPr="00135A61">
        <w:rPr>
          <w:rFonts w:eastAsia="MS Mincho" w:cs="Times New Roman"/>
          <w:color w:val="222222"/>
          <w:sz w:val="22"/>
          <w:szCs w:val="24"/>
        </w:rPr>
        <w:t>customary legitimacy preserved within accountable, legally recognized, professionally managed Utilities.</w:t>
      </w:r>
    </w:p>
    <w:p w14:paraId="3D1F5CE3" w14:textId="0E35F90A"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(c)  </w:t>
      </w:r>
      <w:r w:rsidR="00135A61" w:rsidRPr="00135A61">
        <w:rPr>
          <w:rFonts w:eastAsia="MS Mincho" w:cs="Times New Roman"/>
          <w:b/>
          <w:color w:val="222222"/>
          <w:sz w:val="22"/>
          <w:szCs w:val="24"/>
        </w:rPr>
        <w:t xml:space="preserve">Sustainable O&amp;M financing: </w:t>
      </w:r>
      <w:r w:rsidR="00135A61" w:rsidRPr="00135A61">
        <w:rPr>
          <w:rFonts w:eastAsia="MS Mincho" w:cs="Times New Roman"/>
          <w:color w:val="222222"/>
          <w:sz w:val="22"/>
          <w:szCs w:val="24"/>
        </w:rPr>
        <w:t>a transparent blend of user service charges, community contributions, and predictable public subsidies.</w:t>
      </w:r>
    </w:p>
    <w:p w14:paraId="773B4DAC" w14:textId="0FC30B22"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(d)  </w:t>
      </w:r>
      <w:r w:rsidR="00135A61" w:rsidRPr="00135A61">
        <w:rPr>
          <w:rFonts w:eastAsia="MS Mincho" w:cs="Times New Roman"/>
          <w:b/>
          <w:color w:val="222222"/>
          <w:sz w:val="22"/>
          <w:szCs w:val="24"/>
        </w:rPr>
        <w:t xml:space="preserve">Climate-resilient infrastructure: </w:t>
      </w:r>
      <w:r w:rsidR="00135A61" w:rsidRPr="00135A61">
        <w:rPr>
          <w:rFonts w:eastAsia="MS Mincho" w:cs="Times New Roman"/>
          <w:color w:val="222222"/>
          <w:sz w:val="22"/>
          <w:szCs w:val="24"/>
        </w:rPr>
        <w:t>risk-informed investment, stronger preparedness, and quicker restoration following floods, landslides, and GLOFs.</w:t>
      </w:r>
    </w:p>
    <w:p w14:paraId="391FBE30" w14:textId="645D7E8D"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(e)  </w:t>
      </w:r>
      <w:r w:rsidR="00135A61" w:rsidRPr="00135A61">
        <w:rPr>
          <w:rFonts w:eastAsia="MS Mincho" w:cs="Times New Roman"/>
          <w:b/>
          <w:color w:val="222222"/>
          <w:sz w:val="22"/>
          <w:szCs w:val="24"/>
        </w:rPr>
        <w:t xml:space="preserve">Better public stewardship: </w:t>
      </w:r>
      <w:r w:rsidR="00135A61" w:rsidRPr="00135A61">
        <w:rPr>
          <w:rFonts w:eastAsia="MS Mincho" w:cs="Times New Roman"/>
          <w:color w:val="222222"/>
          <w:sz w:val="22"/>
          <w:szCs w:val="24"/>
        </w:rPr>
        <w:t>clearer mandates for Local Government, the Irrigation Department, GBDMA, and other agencies, with less reliance on ad hoc projects.</w:t>
      </w:r>
    </w:p>
    <w:p w14:paraId="11D01746" w14:textId="5C88D40D"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(f)  </w:t>
      </w:r>
      <w:r w:rsidR="00135A61" w:rsidRPr="00135A61">
        <w:rPr>
          <w:rFonts w:eastAsia="MS Mincho" w:cs="Times New Roman"/>
          <w:b/>
          <w:color w:val="222222"/>
          <w:sz w:val="22"/>
          <w:szCs w:val="24"/>
        </w:rPr>
        <w:t xml:space="preserve">More appropriate technology: </w:t>
      </w:r>
      <w:r w:rsidR="00135A61" w:rsidRPr="00135A61">
        <w:rPr>
          <w:rFonts w:eastAsia="MS Mincho" w:cs="Times New Roman"/>
          <w:color w:val="222222"/>
          <w:sz w:val="22"/>
          <w:szCs w:val="24"/>
        </w:rPr>
        <w:t>designs and technologies selected according to system needs, lifecycle costs, downstream effects, and local maintenance capacity.</w:t>
      </w:r>
    </w:p>
    <w:p w14:paraId="7719981E" w14:textId="4C7D48FA"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(g)  </w:t>
      </w:r>
      <w:r w:rsidR="00135A61" w:rsidRPr="00135A61">
        <w:rPr>
          <w:rFonts w:eastAsia="MS Mincho" w:cs="Times New Roman"/>
          <w:b/>
          <w:color w:val="222222"/>
          <w:sz w:val="22"/>
          <w:szCs w:val="24"/>
        </w:rPr>
        <w:t xml:space="preserve">Evidence-based investment: </w:t>
      </w:r>
      <w:r w:rsidR="00135A61" w:rsidRPr="00135A61">
        <w:rPr>
          <w:rFonts w:eastAsia="MS Mincho" w:cs="Times New Roman"/>
          <w:color w:val="222222"/>
          <w:sz w:val="22"/>
          <w:szCs w:val="24"/>
        </w:rPr>
        <w:t>reliable asset, service, finance, and risk data guiding prioritization, budgeting, technical support, and continuous policy learning.</w:t>
      </w:r>
    </w:p>
    <w:p w14:paraId="2BED9FE0" w14:textId="428F4611" w:rsidR="00135A61" w:rsidRPr="00135A61" w:rsidRDefault="007B5AE2" w:rsidP="00135A61">
      <w:pPr>
        <w:tabs>
          <w:tab w:val="num" w:pos="360"/>
        </w:tabs>
        <w:spacing w:line="264" w:lineRule="auto"/>
        <w:contextualSpacing/>
        <w:jc w:val="both"/>
        <w:rPr>
          <w:rFonts w:eastAsia="MS Mincho" w:cs="Times New Roman"/>
          <w:sz w:val="22"/>
          <w:szCs w:val="24"/>
        </w:rPr>
      </w:pPr>
      <w:r>
        <w:rPr>
          <w:rFonts w:eastAsia="MS Mincho" w:cs="Times New Roman"/>
          <w:b/>
          <w:color w:val="222222"/>
          <w:sz w:val="22"/>
          <w:szCs w:val="24"/>
        </w:rPr>
        <w:t xml:space="preserve">(h)  </w:t>
      </w:r>
      <w:r w:rsidR="00135A61" w:rsidRPr="00135A61">
        <w:rPr>
          <w:rFonts w:eastAsia="MS Mincho" w:cs="Times New Roman"/>
          <w:b/>
          <w:color w:val="222222"/>
          <w:sz w:val="22"/>
          <w:szCs w:val="24"/>
        </w:rPr>
        <w:t xml:space="preserve">Improved long-term development outcomes: </w:t>
      </w:r>
      <w:r w:rsidR="00135A61" w:rsidRPr="00135A61">
        <w:rPr>
          <w:rFonts w:eastAsia="MS Mincho" w:cs="Times New Roman"/>
          <w:color w:val="222222"/>
          <w:sz w:val="22"/>
          <w:szCs w:val="24"/>
        </w:rPr>
        <w:t>more secure agricultural production, livelihoods, food security, social cooperation, and sustainable management of mountain water resources.</w:t>
      </w:r>
    </w:p>
    <w:p w14:paraId="0A75C7FB" w14:textId="5CA29941" w:rsidR="008A14A4" w:rsidRDefault="008A14A4" w:rsidP="008A14A4">
      <w:pPr>
        <w:spacing w:before="100" w:beforeAutospacing="1" w:after="100" w:afterAutospacing="1" w:line="240" w:lineRule="auto"/>
        <w:contextualSpacing/>
        <w:jc w:val="both"/>
        <w:rPr>
          <w:rFonts w:ascii="Calibri" w:eastAsia="Times New Roman" w:hAnsi="Calibri" w:cs="Calibri"/>
          <w:sz w:val="22"/>
          <w:lang w:eastAsia="en-GB"/>
        </w:rPr>
      </w:pPr>
      <w:r>
        <w:rPr>
          <w:i/>
          <w:noProof/>
          <w:color w:val="646464"/>
          <w:sz w:val="15"/>
        </w:rPr>
        <mc:AlternateContent>
          <mc:Choice Requires="wps">
            <w:drawing>
              <wp:anchor distT="0" distB="0" distL="114300" distR="114300" simplePos="0" relativeHeight="251663360" behindDoc="0" locked="0" layoutInCell="1" allowOverlap="1" wp14:anchorId="5D5600A7" wp14:editId="47EACA80">
                <wp:simplePos x="0" y="0"/>
                <wp:positionH relativeFrom="column">
                  <wp:posOffset>0</wp:posOffset>
                </wp:positionH>
                <wp:positionV relativeFrom="paragraph">
                  <wp:posOffset>121920</wp:posOffset>
                </wp:positionV>
                <wp:extent cx="6225540" cy="815340"/>
                <wp:effectExtent l="0" t="0" r="22860" b="22860"/>
                <wp:wrapNone/>
                <wp:docPr id="133285491" name="Text Box 1"/>
                <wp:cNvGraphicFramePr/>
                <a:graphic xmlns:a="http://schemas.openxmlformats.org/drawingml/2006/main">
                  <a:graphicData uri="http://schemas.microsoft.com/office/word/2010/wordprocessingShape">
                    <wps:wsp>
                      <wps:cNvSpPr txBox="1"/>
                      <wps:spPr>
                        <a:xfrm>
                          <a:off x="0" y="0"/>
                          <a:ext cx="6225540" cy="81534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6350">
                          <a:solidFill>
                            <a:prstClr val="black"/>
                          </a:solidFill>
                        </a:ln>
                      </wps:spPr>
                      <wps:txbx>
                        <w:txbxContent>
                          <w:p w14:paraId="699BCAD6" w14:textId="0F9F29A3" w:rsidR="008A14A4" w:rsidRPr="007829AA" w:rsidRDefault="008A14A4" w:rsidP="008A14A4">
                            <w:pPr>
                              <w:jc w:val="both"/>
                              <w:rPr>
                                <w:i/>
                                <w:iCs/>
                              </w:rPr>
                            </w:pPr>
                            <w:r>
                              <w:rPr>
                                <w:b/>
                                <w:bCs/>
                                <w:color w:val="990033"/>
                              </w:rPr>
                              <w:t>Source</w:t>
                            </w:r>
                            <w:r>
                              <w:rPr>
                                <w:b/>
                                <w:bCs/>
                                <w:color w:val="990033"/>
                              </w:rPr>
                              <w:br/>
                            </w:r>
                            <w:r w:rsidRPr="007829AA">
                              <w:rPr>
                                <w:i/>
                                <w:iCs/>
                              </w:rPr>
                              <w:t xml:space="preserve">This policy brief is based </w:t>
                            </w:r>
                            <w:r w:rsidR="008C03A6">
                              <w:rPr>
                                <w:i/>
                                <w:iCs/>
                              </w:rPr>
                              <w:t xml:space="preserve">on </w:t>
                            </w:r>
                            <w:r w:rsidR="009573E0">
                              <w:rPr>
                                <w:i/>
                                <w:iCs/>
                              </w:rPr>
                              <w:t xml:space="preserve">the </w:t>
                            </w:r>
                            <w:r w:rsidR="00287BA6">
                              <w:rPr>
                                <w:i/>
                                <w:iCs/>
                              </w:rPr>
                              <w:t>Irrigation Study</w:t>
                            </w:r>
                            <w:r w:rsidR="009573E0">
                              <w:rPr>
                                <w:i/>
                                <w:iCs/>
                              </w:rPr>
                              <w:t xml:space="preserve"> Technical Report </w:t>
                            </w:r>
                            <w:r>
                              <w:rPr>
                                <w:i/>
                                <w:iCs/>
                              </w:rPr>
                              <w:t>(Draft</w:t>
                            </w:r>
                            <w:r w:rsidRPr="007829AA">
                              <w:rPr>
                                <w:i/>
                                <w:iCs/>
                              </w:rPr>
                              <w:t>,</w:t>
                            </w:r>
                            <w:r>
                              <w:rPr>
                                <w:i/>
                                <w:iCs/>
                              </w:rPr>
                              <w:t xml:space="preserve"> May 2026), </w:t>
                            </w:r>
                            <w:r w:rsidRPr="007829AA">
                              <w:rPr>
                                <w:i/>
                                <w:iCs/>
                              </w:rPr>
                              <w:t>prepared under the EU Policy Support Technical Assistance to the Government of Gilgit-Baltistan. Statistics, recommendations and the implementation roadmap are drawn from the source document</w:t>
                            </w:r>
                            <w:r>
                              <w:rPr>
                                <w:i/>
                                <w:iCs/>
                              </w:rPr>
                              <w:t>, subject to any future updates as improved regional datasets become available.</w:t>
                            </w:r>
                          </w:p>
                          <w:p w14:paraId="18C156E0" w14:textId="77777777" w:rsidR="008A14A4" w:rsidRPr="007829AA" w:rsidRDefault="008A14A4" w:rsidP="008A14A4">
                            <w:pPr>
                              <w:jc w:val="both"/>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600A7" id="_x0000_t202" coordsize="21600,21600" o:spt="202" path="m,l,21600r21600,l21600,xe">
                <v:stroke joinstyle="miter"/>
                <v:path gradientshapeok="t" o:connecttype="rect"/>
              </v:shapetype>
              <v:shape id="Text Box 1" o:spid="_x0000_s1026" type="#_x0000_t202" style="position:absolute;left:0;text-align:left;margin-left:0;margin-top:9.6pt;width:490.2pt;height:6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" fillcolor="#f6f8fc [180]" strokeweight=".5pt">
                <v:fill color2="#c7d4ed [980]" colors="0 #f6f8fc;48497f #abc0e4;54395f #abc0e4;1 #c7d5ed" focus="100%" type="gradient"/>
                <v:textbox>
                  <w:txbxContent>
                    <w:p w14:paraId="699BCAD6" w14:textId="0F9F29A3" w:rsidR="008A14A4" w:rsidRPr="007829AA" w:rsidRDefault="008A14A4" w:rsidP="008A14A4">
                      <w:pPr>
                        <w:jc w:val="both"/>
                        <w:rPr>
                          <w:i/>
                          <w:iCs/>
                        </w:rPr>
                      </w:pPr>
                      <w:r>
                        <w:rPr>
                          <w:b/>
                          <w:bCs/>
                          <w:color w:val="990033"/>
                        </w:rPr>
                        <w:t>Source</w:t>
                      </w:r>
                      <w:r>
                        <w:rPr>
                          <w:b/>
                          <w:bCs/>
                          <w:color w:val="990033"/>
                        </w:rPr>
                        <w:br/>
                      </w:r>
                      <w:r w:rsidRPr="007829AA">
                        <w:rPr>
                          <w:i/>
                          <w:iCs/>
                        </w:rPr>
                        <w:t xml:space="preserve">This policy brief is based </w:t>
                      </w:r>
                      <w:r w:rsidR="008C03A6">
                        <w:rPr>
                          <w:i/>
                          <w:iCs/>
                        </w:rPr>
                        <w:t xml:space="preserve">on </w:t>
                      </w:r>
                      <w:r w:rsidR="009573E0">
                        <w:rPr>
                          <w:i/>
                          <w:iCs/>
                        </w:rPr>
                        <w:t xml:space="preserve">the </w:t>
                      </w:r>
                      <w:r w:rsidR="00287BA6">
                        <w:rPr>
                          <w:i/>
                          <w:iCs/>
                        </w:rPr>
                        <w:t>Irrigation Study</w:t>
                      </w:r>
                      <w:r w:rsidR="009573E0">
                        <w:rPr>
                          <w:i/>
                          <w:iCs/>
                        </w:rPr>
                        <w:t xml:space="preserve"> Technical Report </w:t>
                      </w:r>
                      <w:r>
                        <w:rPr>
                          <w:i/>
                          <w:iCs/>
                        </w:rPr>
                        <w:t>(Draft</w:t>
                      </w:r>
                      <w:r w:rsidRPr="007829AA">
                        <w:rPr>
                          <w:i/>
                          <w:iCs/>
                        </w:rPr>
                        <w:t>,</w:t>
                      </w:r>
                      <w:r>
                        <w:rPr>
                          <w:i/>
                          <w:iCs/>
                        </w:rPr>
                        <w:t xml:space="preserve"> May 2026), </w:t>
                      </w:r>
                      <w:r w:rsidRPr="007829AA">
                        <w:rPr>
                          <w:i/>
                          <w:iCs/>
                        </w:rPr>
                        <w:t>prepared under the EU Policy Support Technical Assistance to the Government of Gilgit-Baltistan. Statistics, recommendations and the implementation roadmap are drawn from the source document</w:t>
                      </w:r>
                      <w:r>
                        <w:rPr>
                          <w:i/>
                          <w:iCs/>
                        </w:rPr>
                        <w:t>, subject to any future updates as improved regional datasets become available.</w:t>
                      </w:r>
                    </w:p>
                    <w:p w14:paraId="18C156E0" w14:textId="77777777" w:rsidR="008A14A4" w:rsidRPr="007829AA" w:rsidRDefault="008A14A4" w:rsidP="008A14A4">
                      <w:pPr>
                        <w:jc w:val="both"/>
                        <w:rPr>
                          <w:i/>
                          <w:iCs/>
                        </w:rPr>
                      </w:pPr>
                    </w:p>
                  </w:txbxContent>
                </v:textbox>
              </v:shape>
            </w:pict>
          </mc:Fallback>
        </mc:AlternateContent>
      </w:r>
    </w:p>
    <w:p w14:paraId="15F6C7FC" w14:textId="1CBF52DE" w:rsidR="008A14A4" w:rsidRDefault="008A14A4" w:rsidP="008A14A4">
      <w:pPr>
        <w:spacing w:before="100" w:beforeAutospacing="1" w:after="100" w:afterAutospacing="1" w:line="240" w:lineRule="auto"/>
        <w:contextualSpacing/>
        <w:jc w:val="both"/>
        <w:rPr>
          <w:rFonts w:ascii="Calibri" w:eastAsia="Times New Roman" w:hAnsi="Calibri" w:cs="Calibri"/>
          <w:sz w:val="22"/>
          <w:lang w:eastAsia="en-GB"/>
        </w:rPr>
      </w:pPr>
    </w:p>
    <w:p w14:paraId="65C80EAC" w14:textId="48298CCD" w:rsidR="008A14A4" w:rsidRDefault="008A14A4" w:rsidP="008A14A4">
      <w:pPr>
        <w:spacing w:before="100" w:beforeAutospacing="1" w:after="100" w:afterAutospacing="1" w:line="240" w:lineRule="auto"/>
        <w:contextualSpacing/>
        <w:jc w:val="both"/>
        <w:rPr>
          <w:rFonts w:ascii="Calibri" w:eastAsia="Times New Roman" w:hAnsi="Calibri" w:cs="Calibri"/>
          <w:sz w:val="22"/>
          <w:lang w:eastAsia="en-GB"/>
        </w:rPr>
      </w:pPr>
    </w:p>
    <w:p w14:paraId="5509E221" w14:textId="7A52FC36" w:rsidR="008A14A4" w:rsidRPr="00C1415B" w:rsidRDefault="008A14A4" w:rsidP="008A14A4">
      <w:pPr>
        <w:spacing w:before="100" w:beforeAutospacing="1" w:after="100" w:afterAutospacing="1" w:line="240" w:lineRule="auto"/>
        <w:contextualSpacing/>
        <w:jc w:val="both"/>
        <w:rPr>
          <w:rFonts w:ascii="Calibri" w:eastAsia="Times New Roman" w:hAnsi="Calibri" w:cs="Calibri"/>
          <w:sz w:val="22"/>
          <w:lang w:eastAsia="en-GB"/>
        </w:rPr>
      </w:pPr>
    </w:p>
    <w:p w14:paraId="7847D051" w14:textId="77777777" w:rsidR="00C1415B" w:rsidRPr="00C1415B" w:rsidRDefault="00C1415B" w:rsidP="00C1415B">
      <w:pPr>
        <w:spacing w:before="100" w:beforeAutospacing="1" w:after="100" w:afterAutospacing="1" w:line="240" w:lineRule="auto"/>
        <w:jc w:val="both"/>
        <w:outlineLvl w:val="2"/>
        <w:rPr>
          <w:rFonts w:ascii="Calibri" w:eastAsia="Times New Roman" w:hAnsi="Calibri" w:cs="Calibri"/>
          <w:b/>
          <w:bCs/>
          <w:sz w:val="22"/>
          <w:lang w:val="en-GB" w:eastAsia="en-GB"/>
        </w:rPr>
      </w:pPr>
    </w:p>
    <w:p w14:paraId="2A0C3631" w14:textId="789A41B7" w:rsidR="00C1415B" w:rsidRPr="00C1415B" w:rsidRDefault="008A14A4" w:rsidP="00C1415B">
      <w:pPr>
        <w:spacing w:after="160"/>
        <w:jc w:val="both"/>
        <w:rPr>
          <w:bCs/>
          <w:sz w:val="22"/>
          <w:szCs w:val="28"/>
        </w:rPr>
      </w:pPr>
      <w:r>
        <w:rPr>
          <w:i/>
          <w:noProof/>
          <w:color w:val="646464"/>
          <w:sz w:val="15"/>
        </w:rPr>
        <mc:AlternateContent>
          <mc:Choice Requires="wps">
            <w:drawing>
              <wp:anchor distT="0" distB="0" distL="114300" distR="114300" simplePos="0" relativeHeight="251665408" behindDoc="0" locked="0" layoutInCell="1" allowOverlap="1" wp14:anchorId="50D813CC" wp14:editId="0C7C5EF1">
                <wp:simplePos x="0" y="0"/>
                <wp:positionH relativeFrom="column">
                  <wp:posOffset>0</wp:posOffset>
                </wp:positionH>
                <wp:positionV relativeFrom="paragraph">
                  <wp:posOffset>0</wp:posOffset>
                </wp:positionV>
                <wp:extent cx="6225540" cy="853440"/>
                <wp:effectExtent l="0" t="0" r="22860" b="22860"/>
                <wp:wrapNone/>
                <wp:docPr id="720978629" name="Text Box 1"/>
                <wp:cNvGraphicFramePr/>
                <a:graphic xmlns:a="http://schemas.openxmlformats.org/drawingml/2006/main">
                  <a:graphicData uri="http://schemas.microsoft.com/office/word/2010/wordprocessingShape">
                    <wps:wsp>
                      <wps:cNvSpPr txBox="1"/>
                      <wps:spPr>
                        <a:xfrm>
                          <a:off x="0" y="0"/>
                          <a:ext cx="6225540" cy="853440"/>
                        </a:xfrm>
                        <a:prstGeom prst="rect">
                          <a:avLst/>
                        </a:prstGeom>
                        <a:gradFill flip="none" rotWithShape="1">
                          <a:gsLst>
                            <a:gs pos="0">
                              <a:schemeClr val="accent5">
                                <a:lumMod val="5000"/>
                                <a:lumOff val="95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5400000" scaled="1"/>
                          <a:tileRect/>
                        </a:gradFill>
                        <a:ln w="6350">
                          <a:solidFill>
                            <a:prstClr val="black"/>
                          </a:solidFill>
                        </a:ln>
                      </wps:spPr>
                      <wps:txbx>
                        <w:txbxContent>
                          <w:p w14:paraId="18DFDA09" w14:textId="0B41F6FA" w:rsidR="008A14A4" w:rsidRPr="005D4607" w:rsidRDefault="008A14A4" w:rsidP="008A14A4">
                            <w:pPr>
                              <w:jc w:val="both"/>
                              <w:rPr>
                                <w:b/>
                                <w:bCs/>
                                <w:color w:val="990033"/>
                              </w:rPr>
                            </w:pPr>
                            <w:r w:rsidRPr="005D4607">
                              <w:rPr>
                                <w:b/>
                                <w:bCs/>
                                <w:i/>
                                <w:iCs/>
                                <w:color w:val="990033"/>
                              </w:rPr>
                              <w:t>Acknowledgement</w:t>
                            </w:r>
                            <w:r>
                              <w:rPr>
                                <w:b/>
                                <w:bCs/>
                                <w:color w:val="990033"/>
                              </w:rPr>
                              <w:br/>
                            </w:r>
                            <w:r w:rsidRPr="007829AA">
                              <w:rPr>
                                <w:i/>
                                <w:iCs/>
                              </w:rPr>
                              <w:t xml:space="preserve">The development of </w:t>
                            </w:r>
                            <w:r w:rsidR="009573E0">
                              <w:rPr>
                                <w:i/>
                                <w:iCs/>
                              </w:rPr>
                              <w:t xml:space="preserve">Technical Report on </w:t>
                            </w:r>
                            <w:r w:rsidR="00287BA6">
                              <w:rPr>
                                <w:i/>
                                <w:iCs/>
                              </w:rPr>
                              <w:t>Irrigation</w:t>
                            </w:r>
                            <w:r w:rsidR="009573E0">
                              <w:rPr>
                                <w:i/>
                                <w:iCs/>
                              </w:rPr>
                              <w:t xml:space="preserve"> </w:t>
                            </w:r>
                            <w:r w:rsidR="00C27E83">
                              <w:rPr>
                                <w:i/>
                                <w:iCs/>
                              </w:rPr>
                              <w:t xml:space="preserve">for </w:t>
                            </w:r>
                            <w:r w:rsidRPr="007829AA">
                              <w:rPr>
                                <w:i/>
                                <w:iCs/>
                              </w:rPr>
                              <w:t xml:space="preserve">Gilgit-Baltistan benefited from the technical review, feedback and endorsement of senior officials and technical representatives of </w:t>
                            </w:r>
                            <w:r w:rsidR="00287BA6">
                              <w:rPr>
                                <w:i/>
                                <w:iCs/>
                              </w:rPr>
                              <w:t>Water Management and Irrigation Department</w:t>
                            </w:r>
                            <w:r w:rsidRPr="007829AA">
                              <w:rPr>
                                <w:i/>
                                <w:iCs/>
                              </w:rPr>
                              <w:t xml:space="preserve">, Government of Gilgit-Baltistan. </w:t>
                            </w:r>
                            <w:r>
                              <w:rPr>
                                <w:i/>
                                <w:iCs/>
                              </w:rPr>
                              <w:t>Valuable contributions o</w:t>
                            </w:r>
                            <w:r w:rsidR="00C27E83">
                              <w:rPr>
                                <w:i/>
                                <w:iCs/>
                              </w:rPr>
                              <w:t xml:space="preserve">f </w:t>
                            </w:r>
                            <w:r>
                              <w:rPr>
                                <w:i/>
                                <w:iCs/>
                              </w:rPr>
                              <w:t xml:space="preserve">all the primary and extended stakeholders involved in the process are </w:t>
                            </w:r>
                            <w:r w:rsidRPr="007829AA">
                              <w:rPr>
                                <w:i/>
                                <w:iCs/>
                              </w:rPr>
                              <w:t>gratefully acknowledge</w:t>
                            </w:r>
                            <w:r>
                              <w:rPr>
                                <w:i/>
                                <w:iCs/>
                              </w:rPr>
                              <w:t>d</w:t>
                            </w:r>
                            <w:r w:rsidRPr="007829AA">
                              <w:rPr>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813CC" id="_x0000_s1027" type="#_x0000_t202" style="position:absolute;left:0;text-align:left;margin-left:0;margin-top:0;width:490.2pt;height:6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" fillcolor="#f7fafd [184]" strokeweight=".5pt">
                <v:fill color2="#cde0f2 [984]" rotate="t" colors="0 #f7fafd;48497f #b5d2ec;54395f #b5d2ec;1 #cee1f2" focus="100%" type="gradient"/>
                <v:textbox>
                  <w:txbxContent>
                    <w:p w14:paraId="18DFDA09" w14:textId="0B41F6FA" w:rsidR="008A14A4" w:rsidRPr="005D4607" w:rsidRDefault="008A14A4" w:rsidP="008A14A4">
                      <w:pPr>
                        <w:jc w:val="both"/>
                        <w:rPr>
                          <w:b/>
                          <w:bCs/>
                          <w:color w:val="990033"/>
                        </w:rPr>
                      </w:pPr>
                      <w:r w:rsidRPr="005D4607">
                        <w:rPr>
                          <w:b/>
                          <w:bCs/>
                          <w:i/>
                          <w:iCs/>
                          <w:color w:val="990033"/>
                        </w:rPr>
                        <w:t>Acknowledgement</w:t>
                      </w:r>
                      <w:r>
                        <w:rPr>
                          <w:b/>
                          <w:bCs/>
                          <w:color w:val="990033"/>
                        </w:rPr>
                        <w:br/>
                      </w:r>
                      <w:r w:rsidRPr="007829AA">
                        <w:rPr>
                          <w:i/>
                          <w:iCs/>
                        </w:rPr>
                        <w:t xml:space="preserve">The development of </w:t>
                      </w:r>
                      <w:r w:rsidR="009573E0">
                        <w:rPr>
                          <w:i/>
                          <w:iCs/>
                        </w:rPr>
                        <w:t xml:space="preserve">Technical Report on </w:t>
                      </w:r>
                      <w:r w:rsidR="00287BA6">
                        <w:rPr>
                          <w:i/>
                          <w:iCs/>
                        </w:rPr>
                        <w:t>Irrigation</w:t>
                      </w:r>
                      <w:r w:rsidR="009573E0">
                        <w:rPr>
                          <w:i/>
                          <w:iCs/>
                        </w:rPr>
                        <w:t xml:space="preserve"> </w:t>
                      </w:r>
                      <w:r w:rsidR="00C27E83">
                        <w:rPr>
                          <w:i/>
                          <w:iCs/>
                        </w:rPr>
                        <w:t xml:space="preserve">for </w:t>
                      </w:r>
                      <w:r w:rsidRPr="007829AA">
                        <w:rPr>
                          <w:i/>
                          <w:iCs/>
                        </w:rPr>
                        <w:t xml:space="preserve">Gilgit-Baltistan benefited from the technical review, feedback and endorsement of senior officials and technical representatives of </w:t>
                      </w:r>
                      <w:r w:rsidR="00287BA6">
                        <w:rPr>
                          <w:i/>
                          <w:iCs/>
                        </w:rPr>
                        <w:t>Water Management and Irrigation Department</w:t>
                      </w:r>
                      <w:r w:rsidRPr="007829AA">
                        <w:rPr>
                          <w:i/>
                          <w:iCs/>
                        </w:rPr>
                        <w:t xml:space="preserve">, Government of Gilgit-Baltistan. </w:t>
                      </w:r>
                      <w:r>
                        <w:rPr>
                          <w:i/>
                          <w:iCs/>
                        </w:rPr>
                        <w:t>Valuable contributions o</w:t>
                      </w:r>
                      <w:r w:rsidR="00C27E83">
                        <w:rPr>
                          <w:i/>
                          <w:iCs/>
                        </w:rPr>
                        <w:t xml:space="preserve">f </w:t>
                      </w:r>
                      <w:r>
                        <w:rPr>
                          <w:i/>
                          <w:iCs/>
                        </w:rPr>
                        <w:t xml:space="preserve">all the primary and extended stakeholders involved in the process are </w:t>
                      </w:r>
                      <w:r w:rsidRPr="007829AA">
                        <w:rPr>
                          <w:i/>
                          <w:iCs/>
                        </w:rPr>
                        <w:t>gratefully acknowledge</w:t>
                      </w:r>
                      <w:r>
                        <w:rPr>
                          <w:i/>
                          <w:iCs/>
                        </w:rPr>
                        <w:t>d</w:t>
                      </w:r>
                      <w:r w:rsidRPr="007829AA">
                        <w:rPr>
                          <w:i/>
                          <w:iCs/>
                        </w:rPr>
                        <w:t>.</w:t>
                      </w:r>
                    </w:p>
                  </w:txbxContent>
                </v:textbox>
              </v:shape>
            </w:pict>
          </mc:Fallback>
        </mc:AlternateContent>
      </w:r>
    </w:p>
    <w:sectPr w:rsidR="00C1415B" w:rsidRPr="00C1415B" w:rsidSect="00732DBF">
      <w:headerReference w:type="default" r:id="rId11"/>
      <w:footerReference w:type="default" r:id="rId12"/>
      <w:pgSz w:w="12240" w:h="15840"/>
      <w:pgMar w:top="900" w:right="1260" w:bottom="1080" w:left="117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6D73" w14:textId="77777777" w:rsidR="004D7A66" w:rsidRDefault="004D7A66" w:rsidP="00732DBF">
      <w:pPr>
        <w:spacing w:after="0" w:line="240" w:lineRule="auto"/>
      </w:pPr>
      <w:r>
        <w:separator/>
      </w:r>
    </w:p>
  </w:endnote>
  <w:endnote w:type="continuationSeparator" w:id="0">
    <w:p w14:paraId="19CB6F96" w14:textId="77777777" w:rsidR="004D7A66" w:rsidRDefault="004D7A66" w:rsidP="00732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071766"/>
      <w:docPartObj>
        <w:docPartGallery w:val="Page Numbers (Bottom of Page)"/>
        <w:docPartUnique/>
      </w:docPartObj>
    </w:sdtPr>
    <w:sdtContent>
      <w:sdt>
        <w:sdtPr>
          <w:id w:val="-1769616900"/>
          <w:docPartObj>
            <w:docPartGallery w:val="Page Numbers (Top of Page)"/>
            <w:docPartUnique/>
          </w:docPartObj>
        </w:sdtPr>
        <w:sdtContent>
          <w:p w14:paraId="7173B2D4" w14:textId="20D6CAFD" w:rsidR="00732DBF" w:rsidRDefault="00846B7E" w:rsidP="00846B7E">
            <w:pPr>
              <w:pStyle w:val="Footer"/>
              <w:pBdr>
                <w:top w:val="single" w:sz="4" w:space="1" w:color="auto"/>
              </w:pBdr>
            </w:pPr>
            <w:r>
              <w:t xml:space="preserve">Policy Brief | </w:t>
            </w:r>
            <w:r w:rsidR="007B5AE2" w:rsidRPr="007B5AE2">
              <w:t>Strengthening community-managed irrigation systems in Gilgit-Baltistan</w:t>
            </w:r>
            <w:r>
              <w:tab/>
            </w:r>
            <w:r w:rsidR="00732DBF">
              <w:t xml:space="preserve">Page </w:t>
            </w:r>
            <w:r w:rsidR="00732DBF">
              <w:rPr>
                <w:b/>
                <w:bCs/>
                <w:sz w:val="24"/>
                <w:szCs w:val="24"/>
              </w:rPr>
              <w:fldChar w:fldCharType="begin"/>
            </w:r>
            <w:r w:rsidR="00732DBF">
              <w:rPr>
                <w:b/>
                <w:bCs/>
              </w:rPr>
              <w:instrText xml:space="preserve"> PAGE </w:instrText>
            </w:r>
            <w:r w:rsidR="00732DBF">
              <w:rPr>
                <w:b/>
                <w:bCs/>
                <w:sz w:val="24"/>
                <w:szCs w:val="24"/>
              </w:rPr>
              <w:fldChar w:fldCharType="separate"/>
            </w:r>
            <w:r w:rsidR="00732DBF">
              <w:rPr>
                <w:b/>
                <w:bCs/>
                <w:noProof/>
              </w:rPr>
              <w:t>2</w:t>
            </w:r>
            <w:r w:rsidR="00732DBF">
              <w:rPr>
                <w:b/>
                <w:bCs/>
                <w:sz w:val="24"/>
                <w:szCs w:val="24"/>
              </w:rPr>
              <w:fldChar w:fldCharType="end"/>
            </w:r>
            <w:r w:rsidR="00732DBF">
              <w:t xml:space="preserve"> of </w:t>
            </w:r>
            <w:r w:rsidR="00732DBF">
              <w:rPr>
                <w:b/>
                <w:bCs/>
                <w:sz w:val="24"/>
                <w:szCs w:val="24"/>
              </w:rPr>
              <w:fldChar w:fldCharType="begin"/>
            </w:r>
            <w:r w:rsidR="00732DBF">
              <w:rPr>
                <w:b/>
                <w:bCs/>
              </w:rPr>
              <w:instrText xml:space="preserve"> NUMPAGES  </w:instrText>
            </w:r>
            <w:r w:rsidR="00732DBF">
              <w:rPr>
                <w:b/>
                <w:bCs/>
                <w:sz w:val="24"/>
                <w:szCs w:val="24"/>
              </w:rPr>
              <w:fldChar w:fldCharType="separate"/>
            </w:r>
            <w:r w:rsidR="00732DBF">
              <w:rPr>
                <w:b/>
                <w:bCs/>
                <w:noProof/>
              </w:rPr>
              <w:t>2</w:t>
            </w:r>
            <w:r w:rsidR="00732DBF">
              <w:rPr>
                <w:b/>
                <w:bCs/>
                <w:sz w:val="24"/>
                <w:szCs w:val="24"/>
              </w:rPr>
              <w:fldChar w:fldCharType="end"/>
            </w:r>
          </w:p>
        </w:sdtContent>
      </w:sdt>
    </w:sdtContent>
  </w:sdt>
  <w:p w14:paraId="7D01836D" w14:textId="77777777" w:rsidR="00732DBF" w:rsidRDefault="0073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64EDF" w14:textId="77777777" w:rsidR="004D7A66" w:rsidRDefault="004D7A66" w:rsidP="00732DBF">
      <w:pPr>
        <w:spacing w:after="0" w:line="240" w:lineRule="auto"/>
      </w:pPr>
      <w:r>
        <w:separator/>
      </w:r>
    </w:p>
  </w:footnote>
  <w:footnote w:type="continuationSeparator" w:id="0">
    <w:p w14:paraId="76E72684" w14:textId="77777777" w:rsidR="004D7A66" w:rsidRDefault="004D7A66" w:rsidP="00732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F623" w14:textId="6AB4151B" w:rsidR="00732DBF" w:rsidRDefault="00732DBF" w:rsidP="00732DBF">
    <w:pPr>
      <w:pStyle w:val="Header"/>
      <w:pBdr>
        <w:bottom w:val="single" w:sz="4" w:space="1" w:color="auto"/>
      </w:pBdr>
    </w:pPr>
    <w:r w:rsidRPr="006038D3">
      <w:t>EU Policy support to the Government of Gilgit-Baltistan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6630F8"/>
    <w:multiLevelType w:val="hybridMultilevel"/>
    <w:tmpl w:val="D3F4C7F8"/>
    <w:lvl w:ilvl="0" w:tplc="A3047890">
      <w:start w:val="1"/>
      <w:numFmt w:val="lowerLetter"/>
      <w:lvlText w:val="(%1)"/>
      <w:lvlJc w:val="left"/>
      <w:pPr>
        <w:ind w:left="720" w:hanging="360"/>
      </w:pPr>
      <w:rPr>
        <w:rFonts w:ascii="Bookman Old Style" w:eastAsia="Bookman Old Style" w:hAnsi="Bookman Old Style" w:cs="Bookman Old Style" w:hint="default"/>
        <w:b w:val="0"/>
        <w:i w:val="0"/>
        <w:strike w:val="0"/>
        <w:dstrike w:val="0"/>
        <w:color w:val="000000"/>
        <w:sz w:val="24"/>
        <w:szCs w:val="24"/>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CF65EA5"/>
    <w:multiLevelType w:val="multilevel"/>
    <w:tmpl w:val="3AF07C5C"/>
    <w:lvl w:ilvl="0">
      <w:start w:val="1"/>
      <w:numFmt w:val="decimal"/>
      <w:lvlText w:val="%1."/>
      <w:lvlJc w:val="left"/>
      <w:pPr>
        <w:ind w:left="720" w:hanging="360"/>
      </w:p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080" w:hanging="720"/>
      </w:pPr>
      <w:rPr>
        <w:b/>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1800" w:hanging="1440"/>
      </w:pPr>
      <w:rPr>
        <w:b/>
      </w:rPr>
    </w:lvl>
  </w:abstractNum>
  <w:num w:numId="1" w16cid:durableId="1550989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9252838">
    <w:abstractNumId w:val="0"/>
  </w:num>
  <w:num w:numId="3" w16cid:durableId="1592740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2A"/>
    <w:rsid w:val="000B0455"/>
    <w:rsid w:val="000D0973"/>
    <w:rsid w:val="00135A61"/>
    <w:rsid w:val="001C3F63"/>
    <w:rsid w:val="001E0C19"/>
    <w:rsid w:val="00287BA6"/>
    <w:rsid w:val="00360B1B"/>
    <w:rsid w:val="004A717E"/>
    <w:rsid w:val="004D7A66"/>
    <w:rsid w:val="00525D0D"/>
    <w:rsid w:val="00732DBF"/>
    <w:rsid w:val="007B5AE2"/>
    <w:rsid w:val="00846B7E"/>
    <w:rsid w:val="008A14A4"/>
    <w:rsid w:val="008C03A6"/>
    <w:rsid w:val="008F3DDA"/>
    <w:rsid w:val="009573E0"/>
    <w:rsid w:val="00995FD9"/>
    <w:rsid w:val="00A4405C"/>
    <w:rsid w:val="00A55B5D"/>
    <w:rsid w:val="00A84EE8"/>
    <w:rsid w:val="00C1415B"/>
    <w:rsid w:val="00C27E83"/>
    <w:rsid w:val="00C761D4"/>
    <w:rsid w:val="00CC3E2B"/>
    <w:rsid w:val="00E81C92"/>
    <w:rsid w:val="00F0032A"/>
    <w:rsid w:val="00F846EA"/>
    <w:rsid w:val="00F94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EDCC1"/>
  <w15:chartTrackingRefBased/>
  <w15:docId w15:val="{2C168303-C051-4C22-AE40-74FDAEC5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2A"/>
    <w:pPr>
      <w:spacing w:after="80" w:line="245" w:lineRule="auto"/>
    </w:pPr>
    <w:rPr>
      <w:rFonts w:ascii="Aptos" w:eastAsiaTheme="minorEastAsia" w:hAnsi="Aptos"/>
      <w:kern w:val="0"/>
      <w:sz w:val="18"/>
      <w:szCs w:val="22"/>
      <w14:ligatures w14:val="none"/>
    </w:rPr>
  </w:style>
  <w:style w:type="paragraph" w:styleId="Heading1">
    <w:name w:val="heading 1"/>
    <w:basedOn w:val="Normal"/>
    <w:next w:val="Normal"/>
    <w:link w:val="Heading1Char"/>
    <w:uiPriority w:val="9"/>
    <w:qFormat/>
    <w:rsid w:val="00F0032A"/>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32A"/>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32A"/>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32A"/>
    <w:rPr>
      <w:rFonts w:eastAsiaTheme="majorEastAsia" w:cstheme="majorBidi"/>
      <w:color w:val="272727" w:themeColor="text1" w:themeTint="D8"/>
    </w:rPr>
  </w:style>
  <w:style w:type="paragraph" w:styleId="Title">
    <w:name w:val="Title"/>
    <w:basedOn w:val="Normal"/>
    <w:next w:val="Normal"/>
    <w:link w:val="TitleChar"/>
    <w:uiPriority w:val="10"/>
    <w:qFormat/>
    <w:rsid w:val="00F0032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32A"/>
    <w:pPr>
      <w:spacing w:before="160"/>
      <w:jc w:val="center"/>
    </w:pPr>
    <w:rPr>
      <w:i/>
      <w:iCs/>
      <w:color w:val="404040" w:themeColor="text1" w:themeTint="BF"/>
    </w:rPr>
  </w:style>
  <w:style w:type="character" w:customStyle="1" w:styleId="QuoteChar">
    <w:name w:val="Quote Char"/>
    <w:basedOn w:val="DefaultParagraphFont"/>
    <w:link w:val="Quote"/>
    <w:uiPriority w:val="29"/>
    <w:rsid w:val="00F0032A"/>
    <w:rPr>
      <w:i/>
      <w:iCs/>
      <w:color w:val="404040" w:themeColor="text1" w:themeTint="BF"/>
    </w:rPr>
  </w:style>
  <w:style w:type="paragraph" w:styleId="ListParagraph">
    <w:name w:val="List Paragraph"/>
    <w:basedOn w:val="Normal"/>
    <w:uiPriority w:val="34"/>
    <w:qFormat/>
    <w:rsid w:val="00F0032A"/>
    <w:pPr>
      <w:ind w:left="720"/>
      <w:contextualSpacing/>
    </w:pPr>
  </w:style>
  <w:style w:type="character" w:styleId="IntenseEmphasis">
    <w:name w:val="Intense Emphasis"/>
    <w:basedOn w:val="DefaultParagraphFont"/>
    <w:uiPriority w:val="21"/>
    <w:qFormat/>
    <w:rsid w:val="00F0032A"/>
    <w:rPr>
      <w:i/>
      <w:iCs/>
      <w:color w:val="2F5496" w:themeColor="accent1" w:themeShade="BF"/>
    </w:rPr>
  </w:style>
  <w:style w:type="paragraph" w:styleId="IntenseQuote">
    <w:name w:val="Intense Quote"/>
    <w:basedOn w:val="Normal"/>
    <w:next w:val="Normal"/>
    <w:link w:val="IntenseQuoteChar"/>
    <w:uiPriority w:val="30"/>
    <w:qFormat/>
    <w:rsid w:val="00F00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32A"/>
    <w:rPr>
      <w:i/>
      <w:iCs/>
      <w:color w:val="2F5496" w:themeColor="accent1" w:themeShade="BF"/>
    </w:rPr>
  </w:style>
  <w:style w:type="character" w:styleId="IntenseReference">
    <w:name w:val="Intense Reference"/>
    <w:basedOn w:val="DefaultParagraphFont"/>
    <w:uiPriority w:val="32"/>
    <w:qFormat/>
    <w:rsid w:val="00F0032A"/>
    <w:rPr>
      <w:b/>
      <w:bCs/>
      <w:smallCaps/>
      <w:color w:val="2F5496" w:themeColor="accent1" w:themeShade="BF"/>
      <w:spacing w:val="5"/>
    </w:rPr>
  </w:style>
  <w:style w:type="table" w:styleId="TableGrid">
    <w:name w:val="Table Grid"/>
    <w:basedOn w:val="TableNormal"/>
    <w:uiPriority w:val="59"/>
    <w:rsid w:val="00F0032A"/>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032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0032A"/>
    <w:rPr>
      <w:sz w:val="16"/>
      <w:szCs w:val="16"/>
    </w:rPr>
  </w:style>
  <w:style w:type="paragraph" w:styleId="CommentText">
    <w:name w:val="annotation text"/>
    <w:basedOn w:val="Normal"/>
    <w:link w:val="CommentTextChar"/>
    <w:uiPriority w:val="99"/>
    <w:semiHidden/>
    <w:unhideWhenUsed/>
    <w:rsid w:val="00F0032A"/>
    <w:pPr>
      <w:spacing w:line="240" w:lineRule="auto"/>
    </w:pPr>
    <w:rPr>
      <w:sz w:val="20"/>
      <w:szCs w:val="20"/>
    </w:rPr>
  </w:style>
  <w:style w:type="character" w:customStyle="1" w:styleId="CommentTextChar">
    <w:name w:val="Comment Text Char"/>
    <w:basedOn w:val="DefaultParagraphFont"/>
    <w:link w:val="CommentText"/>
    <w:uiPriority w:val="99"/>
    <w:semiHidden/>
    <w:rsid w:val="00F0032A"/>
    <w:rPr>
      <w:rFonts w:ascii="Aptos" w:eastAsiaTheme="minorEastAsia" w:hAnsi="Aptos"/>
      <w:kern w:val="0"/>
      <w:sz w:val="20"/>
      <w:szCs w:val="20"/>
      <w14:ligatures w14:val="none"/>
    </w:rPr>
  </w:style>
  <w:style w:type="table" w:customStyle="1" w:styleId="GridTable1Light-Accent61">
    <w:name w:val="Grid Table 1 Light - Accent 61"/>
    <w:basedOn w:val="TableNormal"/>
    <w:next w:val="GridTable1Light-Accent6"/>
    <w:uiPriority w:val="46"/>
    <w:rsid w:val="00C1415B"/>
    <w:pPr>
      <w:spacing w:after="0" w:line="240" w:lineRule="auto"/>
    </w:pPr>
    <w:rPr>
      <w:rFonts w:ascii="Calibri" w:eastAsia="Times New Roman" w:hAnsi="Calibri" w:cs="Arial"/>
      <w:kern w:val="0"/>
      <w:sz w:val="20"/>
      <w:szCs w:val="20"/>
      <w:lang w:val="en-GB"/>
      <w14:ligatures w14:val="none"/>
    </w:rPr>
    <w:tblPr>
      <w:tblStyleRowBandSize w:val="1"/>
      <w:tblStyleColBandSize w:val="1"/>
      <w:tblInd w:w="0" w:type="nil"/>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415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55B5D"/>
    <w:rPr>
      <w:b/>
      <w:bCs/>
    </w:rPr>
  </w:style>
  <w:style w:type="paragraph" w:styleId="Header">
    <w:name w:val="header"/>
    <w:basedOn w:val="Normal"/>
    <w:link w:val="HeaderChar"/>
    <w:uiPriority w:val="99"/>
    <w:unhideWhenUsed/>
    <w:rsid w:val="00732D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DBF"/>
    <w:rPr>
      <w:rFonts w:ascii="Aptos" w:eastAsiaTheme="minorEastAsia" w:hAnsi="Aptos"/>
      <w:kern w:val="0"/>
      <w:sz w:val="18"/>
      <w:szCs w:val="22"/>
      <w14:ligatures w14:val="none"/>
    </w:rPr>
  </w:style>
  <w:style w:type="paragraph" w:styleId="Footer">
    <w:name w:val="footer"/>
    <w:basedOn w:val="Normal"/>
    <w:link w:val="FooterChar"/>
    <w:uiPriority w:val="99"/>
    <w:unhideWhenUsed/>
    <w:rsid w:val="00732D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DBF"/>
    <w:rPr>
      <w:rFonts w:ascii="Aptos" w:eastAsiaTheme="minorEastAsia" w:hAnsi="Aptos"/>
      <w:kern w:val="0"/>
      <w:sz w:val="18"/>
      <w:szCs w:val="22"/>
      <w14:ligatures w14:val="none"/>
    </w:rPr>
  </w:style>
  <w:style w:type="paragraph" w:styleId="ListBullet">
    <w:name w:val="List Bullet"/>
    <w:basedOn w:val="Normal"/>
    <w:uiPriority w:val="99"/>
    <w:unhideWhenUsed/>
    <w:rsid w:val="00CC3E2B"/>
    <w:pPr>
      <w:numPr>
        <w:numId w:val="2"/>
      </w:numPr>
      <w:tabs>
        <w:tab w:val="clear" w:pos="360"/>
      </w:tabs>
      <w:spacing w:after="120" w:line="264" w:lineRule="auto"/>
      <w:ind w:left="0" w:firstLine="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1665</Words>
  <Characters>9492</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1. Executive Summary</vt:lpstr>
      <vt:lpstr>2. Why this is important for Gilgit-Baltistan?</vt:lpstr>
      <vt:lpstr>3. Key evidence</vt:lpstr>
      <vt:lpstr>4. Policy gaps</vt:lpstr>
      <vt:lpstr>5. Priority recommendations</vt:lpstr>
      <vt:lpstr>        5.7 Integrate Ecosystem-Based Disaster Risk Reduction and Climate Adaptation: Sc</vt:lpstr>
      <vt:lpstr>        5.8. Ensure Gender-Responsive and Inclusive Disaster Risk Reduction: Institution</vt:lpstr>
      <vt:lpstr>6. Implementation roadmap</vt:lpstr>
      <vt:lpstr>7. Expected outcomes</vt:lpstr>
      <vt: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Baig</dc:creator>
  <cp:keywords/>
  <dc:description/>
  <cp:lastModifiedBy>Ashab Baig</cp:lastModifiedBy>
  <cp:revision>11</cp:revision>
  <dcterms:created xsi:type="dcterms:W3CDTF">2026-08-16T16:06:00Z</dcterms:created>
  <dcterms:modified xsi:type="dcterms:W3CDTF">2026-08-28T09:57:00Z</dcterms:modified>
</cp:coreProperties>
</file>