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F53" w:rsidRDefault="00B22499" w:rsidP="00DF3F53">
      <w:r>
        <w:t xml:space="preserve">Rachel </w:t>
      </w:r>
      <w:proofErr w:type="spellStart"/>
      <w:r>
        <w:t>Platz</w:t>
      </w:r>
      <w:proofErr w:type="spellEnd"/>
      <w:r>
        <w:t xml:space="preserve"> and Hayley Richardson</w:t>
      </w:r>
    </w:p>
    <w:p w:rsidR="00B22499" w:rsidRDefault="00B22499" w:rsidP="00DF3F53">
      <w:r>
        <w:t>Lab #4</w:t>
      </w:r>
    </w:p>
    <w:p w:rsidR="00B22499" w:rsidRDefault="00B22499" w:rsidP="00DF3F53">
      <w:r>
        <w:t>12-8-2015</w:t>
      </w:r>
    </w:p>
    <w:p w:rsidR="008459E6" w:rsidRDefault="00DF3F53" w:rsidP="00DF3F53">
      <w:pPr>
        <w:pStyle w:val="ListParagraph"/>
        <w:numPr>
          <w:ilvl w:val="0"/>
          <w:numId w:val="1"/>
        </w:numPr>
      </w:pPr>
      <w:r>
        <w:t>The mean number of hours undergraduates sleep is 6.186667.  The mean number of hours graduates sleep is 6.42.</w:t>
      </w:r>
    </w:p>
    <w:p w:rsidR="00DF3F53" w:rsidRDefault="00DF3F53" w:rsidP="00DF3F53">
      <w:pPr>
        <w:pStyle w:val="ListParagraph"/>
        <w:numPr>
          <w:ilvl w:val="0"/>
          <w:numId w:val="1"/>
        </w:numPr>
      </w:pPr>
      <w:r>
        <w:t>The test statistic is -1.23042 and the p-value is .110632.  Because our p-value</w:t>
      </w:r>
      <w:r w:rsidR="006055A7">
        <w:t xml:space="preserve"> is greater than</w:t>
      </w:r>
      <w:r>
        <w:t xml:space="preserve"> our alpha, .05, we accept the null hypothesis and conclude that the mean number of hours of sleep for undergraduate students does not differ from the mean number of hours of sleep for graduate students. </w:t>
      </w:r>
    </w:p>
    <w:p w:rsidR="006055A7" w:rsidRDefault="006055A7" w:rsidP="00DF3F53">
      <w:pPr>
        <w:pStyle w:val="ListParagraph"/>
        <w:numPr>
          <w:ilvl w:val="0"/>
          <w:numId w:val="1"/>
        </w:numPr>
      </w:pPr>
      <w:r>
        <w:t>The standard deviations are similar enough to use an ANOVA on the data because the standard deviation of the smallest population (green) divided by the standard deviation of the largest population (brown) is 1.349933, which is less than 2.  By the Rule of Thumb, then the standard deviations are similar enough.</w:t>
      </w:r>
    </w:p>
    <w:p w:rsidR="000E5C12" w:rsidRDefault="000E5C12" w:rsidP="00DF3F53">
      <w:pPr>
        <w:pStyle w:val="ListParagraph"/>
        <w:numPr>
          <w:ilvl w:val="0"/>
          <w:numId w:val="1"/>
        </w:numPr>
      </w:pPr>
    </w:p>
    <w:tbl>
      <w:tblPr>
        <w:tblW w:w="7520" w:type="dxa"/>
        <w:shd w:val="clear" w:color="auto" w:fill="FFFFFF"/>
        <w:tblCellMar>
          <w:left w:w="0" w:type="dxa"/>
          <w:right w:w="0" w:type="dxa"/>
        </w:tblCellMar>
        <w:tblLook w:val="04A0"/>
      </w:tblPr>
      <w:tblGrid>
        <w:gridCol w:w="1825"/>
        <w:gridCol w:w="895"/>
        <w:gridCol w:w="960"/>
        <w:gridCol w:w="960"/>
        <w:gridCol w:w="960"/>
        <w:gridCol w:w="960"/>
        <w:gridCol w:w="960"/>
      </w:tblGrid>
      <w:tr w:rsidR="006055A7" w:rsidRPr="006055A7" w:rsidTr="006055A7">
        <w:trPr>
          <w:trHeight w:val="264"/>
        </w:trPr>
        <w:tc>
          <w:tcPr>
            <w:tcW w:w="2720" w:type="dxa"/>
            <w:gridSpan w:val="2"/>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roofErr w:type="spellStart"/>
            <w:r w:rsidRPr="006055A7">
              <w:rPr>
                <w:rFonts w:ascii="Arial" w:eastAsia="Times New Roman" w:hAnsi="Arial" w:cs="Arial"/>
                <w:color w:val="222222"/>
                <w:sz w:val="19"/>
                <w:szCs w:val="19"/>
              </w:rPr>
              <w:t>Anova</w:t>
            </w:r>
            <w:proofErr w:type="spellEnd"/>
            <w:r w:rsidRPr="006055A7">
              <w:rPr>
                <w:rFonts w:ascii="Arial" w:eastAsia="Times New Roman" w:hAnsi="Arial" w:cs="Arial"/>
                <w:color w:val="222222"/>
                <w:sz w:val="19"/>
                <w:szCs w:val="19"/>
              </w:rPr>
              <w:t>: Single Factor</w:t>
            </w:r>
          </w:p>
        </w:tc>
        <w:tc>
          <w:tcPr>
            <w:tcW w:w="960" w:type="dxa"/>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76"/>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SUMMARY</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Groups</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Count</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Sum</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Average</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Variance</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Blue</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6</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169</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28.16667</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2.334667</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Brown</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8</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204.7</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25.5875</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1.864107</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76"/>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Green</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5</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134.6</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26.92</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3.397</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76"/>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ANOVA</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Source of Variation</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SS</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roofErr w:type="spellStart"/>
            <w:r w:rsidRPr="006055A7">
              <w:rPr>
                <w:rFonts w:ascii="Arial" w:eastAsia="Times New Roman" w:hAnsi="Arial" w:cs="Arial"/>
                <w:color w:val="222222"/>
                <w:sz w:val="19"/>
                <w:szCs w:val="19"/>
              </w:rPr>
              <w:t>df</w:t>
            </w:r>
            <w:proofErr w:type="spellEnd"/>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MS</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F</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P-value</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 xml:space="preserve">F </w:t>
            </w:r>
            <w:proofErr w:type="spellStart"/>
            <w:r w:rsidRPr="006055A7">
              <w:rPr>
                <w:rFonts w:ascii="Arial" w:eastAsia="Times New Roman" w:hAnsi="Arial" w:cs="Arial"/>
                <w:color w:val="222222"/>
                <w:sz w:val="19"/>
                <w:szCs w:val="19"/>
              </w:rPr>
              <w:t>crit</w:t>
            </w:r>
            <w:proofErr w:type="spellEnd"/>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Between Groups</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22.99729</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11.49864</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4.802346</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0.023249</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3.633723</w:t>
            </w: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Within Groups</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38.31008</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16</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2.39438</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r>
      <w:tr w:rsidR="006055A7" w:rsidRPr="006055A7" w:rsidTr="006055A7">
        <w:trPr>
          <w:trHeight w:val="276"/>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Total</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61.30737</w:t>
            </w:r>
          </w:p>
        </w:tc>
        <w:tc>
          <w:tcPr>
            <w:tcW w:w="0" w:type="auto"/>
            <w:shd w:val="clear" w:color="auto" w:fill="FFFFFF"/>
            <w:vAlign w:val="center"/>
            <w:hideMark/>
          </w:tcPr>
          <w:p w:rsidR="006055A7" w:rsidRPr="006055A7" w:rsidRDefault="006055A7" w:rsidP="006055A7">
            <w:pPr>
              <w:spacing w:after="0" w:line="240" w:lineRule="auto"/>
              <w:jc w:val="right"/>
              <w:rPr>
                <w:rFonts w:ascii="Arial" w:eastAsia="Times New Roman" w:hAnsi="Arial" w:cs="Arial"/>
                <w:color w:val="222222"/>
                <w:sz w:val="19"/>
                <w:szCs w:val="19"/>
              </w:rPr>
            </w:pPr>
            <w:r w:rsidRPr="006055A7">
              <w:rPr>
                <w:rFonts w:ascii="Arial" w:eastAsia="Times New Roman" w:hAnsi="Arial" w:cs="Arial"/>
                <w:color w:val="222222"/>
                <w:sz w:val="19"/>
                <w:szCs w:val="19"/>
              </w:rPr>
              <w:t>18</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 </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 </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 </w:t>
            </w:r>
          </w:p>
        </w:tc>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r w:rsidRPr="006055A7">
              <w:rPr>
                <w:rFonts w:ascii="Arial" w:eastAsia="Times New Roman" w:hAnsi="Arial" w:cs="Arial"/>
                <w:color w:val="222222"/>
                <w:sz w:val="19"/>
                <w:szCs w:val="19"/>
              </w:rPr>
              <w:t> </w:t>
            </w:r>
          </w:p>
        </w:tc>
      </w:tr>
      <w:tr w:rsidR="006055A7" w:rsidRPr="006055A7" w:rsidTr="006055A7">
        <w:trPr>
          <w:trHeight w:val="264"/>
        </w:trPr>
        <w:tc>
          <w:tcPr>
            <w:tcW w:w="0" w:type="auto"/>
            <w:shd w:val="clear" w:color="auto" w:fill="FFFFFF"/>
            <w:vAlign w:val="center"/>
            <w:hideMark/>
          </w:tcPr>
          <w:p w:rsidR="006055A7" w:rsidRPr="006055A7" w:rsidRDefault="006055A7" w:rsidP="006055A7">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6055A7" w:rsidRPr="006055A7" w:rsidRDefault="006055A7" w:rsidP="006055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6055A7" w:rsidRPr="006055A7" w:rsidRDefault="006055A7" w:rsidP="006055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6055A7" w:rsidRPr="006055A7" w:rsidRDefault="006055A7" w:rsidP="006055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6055A7" w:rsidRPr="006055A7" w:rsidRDefault="006055A7" w:rsidP="006055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6055A7" w:rsidRPr="006055A7" w:rsidRDefault="006055A7" w:rsidP="006055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6055A7" w:rsidRPr="006055A7" w:rsidRDefault="006055A7" w:rsidP="006055A7">
            <w:pPr>
              <w:spacing w:after="0" w:line="240" w:lineRule="auto"/>
              <w:rPr>
                <w:rFonts w:ascii="Times New Roman" w:eastAsia="Times New Roman" w:hAnsi="Times New Roman" w:cs="Times New Roman"/>
                <w:sz w:val="20"/>
                <w:szCs w:val="20"/>
              </w:rPr>
            </w:pPr>
          </w:p>
        </w:tc>
      </w:tr>
    </w:tbl>
    <w:p w:rsidR="006055A7" w:rsidRDefault="006055A7" w:rsidP="006055A7">
      <w:r>
        <w:t xml:space="preserve">The test statistic is F=4.802346 and the p-value is 0.023249.  Thus, because </w:t>
      </w:r>
      <w:r w:rsidR="00A4558F">
        <w:t>the p-value is smaller than our alpha, .05, we reject the null hypothesis and conclude that the mean CFF’s in the three eye-color populations are not all the same.  CFF is related to eye color.</w:t>
      </w:r>
    </w:p>
    <w:p w:rsidR="000B350D" w:rsidRDefault="000B350D" w:rsidP="000B350D">
      <w:pPr>
        <w:pStyle w:val="ListParagraph"/>
        <w:numPr>
          <w:ilvl w:val="0"/>
          <w:numId w:val="1"/>
        </w:numPr>
      </w:pPr>
      <w:r>
        <w:t xml:space="preserve">Out of the first </w:t>
      </w:r>
      <w:r w:rsidR="008E5627">
        <w:t>10</w:t>
      </w:r>
      <w:r>
        <w:t xml:space="preserve"> students in the data file, 6 turned in the extra credit.</w:t>
      </w:r>
    </w:p>
    <w:p w:rsidR="008E5627" w:rsidRDefault="008E5627" w:rsidP="000B350D">
      <w:pPr>
        <w:pStyle w:val="ListParagraph"/>
        <w:numPr>
          <w:ilvl w:val="0"/>
          <w:numId w:val="1"/>
        </w:numPr>
      </w:pPr>
      <w:r>
        <w:t>Out of the first 10 students in the data file, 5 did better on the first midterm than the second midterm.</w:t>
      </w:r>
    </w:p>
    <w:p w:rsidR="008E5627" w:rsidRDefault="000B5832" w:rsidP="000B350D">
      <w:pPr>
        <w:pStyle w:val="ListParagraph"/>
        <w:numPr>
          <w:ilvl w:val="0"/>
          <w:numId w:val="1"/>
        </w:numPr>
      </w:pPr>
      <w:r>
        <w:t xml:space="preserve">The final score of the first junior in the data file who did not turn in the extra credit was </w:t>
      </w:r>
      <w:r w:rsidR="00923A32">
        <w:t>82.</w:t>
      </w:r>
    </w:p>
    <w:p w:rsidR="00923A32" w:rsidRDefault="00923A32" w:rsidP="000B350D">
      <w:pPr>
        <w:pStyle w:val="ListParagraph"/>
        <w:numPr>
          <w:ilvl w:val="0"/>
          <w:numId w:val="1"/>
        </w:numPr>
      </w:pPr>
      <w:r>
        <w:t>H</w:t>
      </w:r>
      <w:r>
        <w:rPr>
          <w:vertAlign w:val="subscript"/>
        </w:rPr>
        <w:t>0</w:t>
      </w:r>
      <w:r>
        <w:t>: µ</w:t>
      </w:r>
      <w:r>
        <w:rPr>
          <w:vertAlign w:val="subscript"/>
        </w:rPr>
        <w:t>1</w:t>
      </w:r>
      <w:r>
        <w:t>-µ</w:t>
      </w:r>
      <w:r>
        <w:rPr>
          <w:vertAlign w:val="subscript"/>
        </w:rPr>
        <w:t>2</w:t>
      </w:r>
      <w:r>
        <w:t xml:space="preserve">=0, meaning that the students who did not do the extra credit assignment performed the same as the students who did the extra credit assignment  </w:t>
      </w:r>
    </w:p>
    <w:p w:rsidR="00923A32" w:rsidRDefault="00923A32" w:rsidP="00923A32">
      <w:pPr>
        <w:pStyle w:val="ListParagraph"/>
      </w:pPr>
      <w:r>
        <w:t>H</w:t>
      </w:r>
      <w:r>
        <w:rPr>
          <w:vertAlign w:val="subscript"/>
        </w:rPr>
        <w:t>a</w:t>
      </w:r>
      <w:r>
        <w:t>:</w:t>
      </w:r>
      <w:r w:rsidRPr="00923A32">
        <w:t xml:space="preserve"> </w:t>
      </w:r>
      <w:r>
        <w:t>µ</w:t>
      </w:r>
      <w:r>
        <w:rPr>
          <w:vertAlign w:val="subscript"/>
        </w:rPr>
        <w:t>1</w:t>
      </w:r>
      <w:r>
        <w:t>-µ</w:t>
      </w:r>
      <w:r>
        <w:rPr>
          <w:vertAlign w:val="subscript"/>
        </w:rPr>
        <w:t>2</w:t>
      </w:r>
      <w:r>
        <w:t>&lt;0, meaning that the students who did not do the extra credit assignment performed worse than the students who did the extra credit assignment</w:t>
      </w:r>
    </w:p>
    <w:tbl>
      <w:tblPr>
        <w:tblW w:w="7660" w:type="dxa"/>
        <w:tblCellMar>
          <w:left w:w="0" w:type="dxa"/>
          <w:right w:w="0" w:type="dxa"/>
        </w:tblCellMar>
        <w:tblLook w:val="04A0"/>
      </w:tblPr>
      <w:tblGrid>
        <w:gridCol w:w="4368"/>
        <w:gridCol w:w="1953"/>
        <w:gridCol w:w="1321"/>
        <w:gridCol w:w="9"/>
        <w:gridCol w:w="9"/>
      </w:tblGrid>
      <w:tr w:rsidR="00A22D72" w:rsidRPr="00A22D72" w:rsidTr="00A22D72">
        <w:trPr>
          <w:trHeight w:val="264"/>
        </w:trPr>
        <w:tc>
          <w:tcPr>
            <w:tcW w:w="7660" w:type="dxa"/>
            <w:gridSpan w:val="5"/>
            <w:vAlign w:val="center"/>
            <w:hideMark/>
          </w:tcPr>
          <w:p w:rsidR="00A22D72" w:rsidRDefault="00A22D72" w:rsidP="00A22D72">
            <w:pPr>
              <w:spacing w:after="0" w:line="240" w:lineRule="auto"/>
              <w:rPr>
                <w:rFonts w:eastAsia="Times New Roman" w:cs="Arial"/>
              </w:rPr>
            </w:pPr>
          </w:p>
          <w:p w:rsidR="00A22D72" w:rsidRDefault="00A22D72" w:rsidP="00A22D72">
            <w:pPr>
              <w:spacing w:after="0" w:line="240" w:lineRule="auto"/>
              <w:rPr>
                <w:rFonts w:eastAsia="Times New Roman" w:cs="Arial"/>
              </w:rPr>
            </w:pPr>
          </w:p>
          <w:p w:rsidR="00A22D72" w:rsidRPr="00A22D72" w:rsidRDefault="00A22D72" w:rsidP="00A22D72">
            <w:pPr>
              <w:spacing w:after="0" w:line="240" w:lineRule="auto"/>
              <w:rPr>
                <w:rFonts w:eastAsia="Times New Roman" w:cs="Arial"/>
              </w:rPr>
            </w:pPr>
            <w:r w:rsidRPr="00A22D72">
              <w:rPr>
                <w:rFonts w:eastAsia="Times New Roman" w:cs="Arial"/>
              </w:rPr>
              <w:t>t-Test: Two-Sample Assuming Unequal Variances</w:t>
            </w:r>
          </w:p>
        </w:tc>
      </w:tr>
      <w:tr w:rsidR="00A22D72" w:rsidRPr="00A22D72" w:rsidTr="00A22D72">
        <w:trPr>
          <w:trHeight w:val="276"/>
        </w:trPr>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 </w:t>
            </w:r>
          </w:p>
        </w:tc>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0</w:t>
            </w:r>
          </w:p>
        </w:tc>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1</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Mean</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73.86363636</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84.07692</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Variance</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23.1041958</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39.07287</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Observations</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66</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39</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Hypothesized Mean Difference</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0</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proofErr w:type="spellStart"/>
            <w:r w:rsidRPr="00A22D72">
              <w:rPr>
                <w:rFonts w:eastAsia="Times New Roman" w:cs="Arial"/>
              </w:rPr>
              <w:t>df</w:t>
            </w:r>
            <w:proofErr w:type="spellEnd"/>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65</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t Stat</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-8.783914016</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P(T&lt;=t) one-tail</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5.95493E-13</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t Critical one-tail</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1.668635976</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64"/>
        </w:trPr>
        <w:tc>
          <w:tcPr>
            <w:tcW w:w="0" w:type="auto"/>
            <w:vAlign w:val="center"/>
            <w:hideMark/>
          </w:tcPr>
          <w:p w:rsidR="00A22D72" w:rsidRPr="00A22D72" w:rsidRDefault="00A22D72" w:rsidP="00A22D72">
            <w:pPr>
              <w:spacing w:after="0" w:line="240" w:lineRule="auto"/>
              <w:rPr>
                <w:rFonts w:eastAsia="Times New Roman" w:cs="Arial"/>
              </w:rPr>
            </w:pPr>
            <w:r w:rsidRPr="00A22D72">
              <w:rPr>
                <w:rFonts w:eastAsia="Times New Roman" w:cs="Arial"/>
              </w:rPr>
              <w:t>P(T&lt;=t) two-tail</w:t>
            </w:r>
          </w:p>
        </w:tc>
        <w:tc>
          <w:tcPr>
            <w:tcW w:w="0" w:type="auto"/>
            <w:vAlign w:val="center"/>
            <w:hideMark/>
          </w:tcPr>
          <w:p w:rsidR="00A22D72" w:rsidRPr="00A22D72" w:rsidRDefault="00A22D72" w:rsidP="00A22D72">
            <w:pPr>
              <w:spacing w:after="0" w:line="240" w:lineRule="auto"/>
              <w:jc w:val="right"/>
              <w:rPr>
                <w:rFonts w:eastAsia="Times New Roman" w:cs="Arial"/>
              </w:rPr>
            </w:pPr>
            <w:r w:rsidRPr="00A22D72">
              <w:rPr>
                <w:rFonts w:eastAsia="Times New Roman" w:cs="Arial"/>
              </w:rPr>
              <w:t>1.19099E-12</w:t>
            </w: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c>
          <w:tcPr>
            <w:tcW w:w="0" w:type="auto"/>
            <w:vAlign w:val="center"/>
            <w:hideMark/>
          </w:tcPr>
          <w:p w:rsidR="00A22D72" w:rsidRPr="00A22D72" w:rsidRDefault="00A22D72" w:rsidP="00A22D72">
            <w:pPr>
              <w:spacing w:after="0" w:line="240" w:lineRule="auto"/>
              <w:rPr>
                <w:rFonts w:eastAsia="Times New Roman" w:cs="Arial"/>
              </w:rPr>
            </w:pPr>
          </w:p>
        </w:tc>
      </w:tr>
      <w:tr w:rsidR="00A22D72" w:rsidRPr="00A22D72" w:rsidTr="00A22D72">
        <w:trPr>
          <w:trHeight w:val="276"/>
        </w:trPr>
        <w:tc>
          <w:tcPr>
            <w:tcW w:w="0" w:type="auto"/>
            <w:shd w:val="clear" w:color="auto" w:fill="FFFFFF"/>
            <w:vAlign w:val="center"/>
            <w:hideMark/>
          </w:tcPr>
          <w:p w:rsidR="00A22D72" w:rsidRPr="00A22D72" w:rsidRDefault="00A22D72" w:rsidP="00A22D72">
            <w:pPr>
              <w:spacing w:after="0" w:line="240" w:lineRule="auto"/>
              <w:rPr>
                <w:rFonts w:eastAsia="Times New Roman" w:cs="Arial"/>
                <w:color w:val="222222"/>
              </w:rPr>
            </w:pPr>
            <w:r w:rsidRPr="00A22D72">
              <w:rPr>
                <w:rFonts w:eastAsia="Times New Roman" w:cs="Arial"/>
                <w:color w:val="222222"/>
              </w:rPr>
              <w:t>t Critical two-tail</w:t>
            </w:r>
          </w:p>
        </w:tc>
        <w:tc>
          <w:tcPr>
            <w:tcW w:w="0" w:type="auto"/>
            <w:shd w:val="clear" w:color="auto" w:fill="FFFFFF"/>
            <w:vAlign w:val="center"/>
            <w:hideMark/>
          </w:tcPr>
          <w:p w:rsidR="00A22D72" w:rsidRPr="00A22D72" w:rsidRDefault="00A22D72" w:rsidP="00A22D72">
            <w:pPr>
              <w:spacing w:after="0" w:line="240" w:lineRule="auto"/>
              <w:jc w:val="right"/>
              <w:rPr>
                <w:rFonts w:eastAsia="Times New Roman" w:cs="Arial"/>
                <w:color w:val="222222"/>
              </w:rPr>
            </w:pPr>
            <w:r w:rsidRPr="00A22D72">
              <w:rPr>
                <w:rFonts w:eastAsia="Times New Roman" w:cs="Arial"/>
                <w:color w:val="222222"/>
              </w:rPr>
              <w:t>1.997137908</w:t>
            </w:r>
          </w:p>
        </w:tc>
        <w:tc>
          <w:tcPr>
            <w:tcW w:w="0" w:type="auto"/>
            <w:shd w:val="clear" w:color="auto" w:fill="FFFFFF"/>
            <w:vAlign w:val="center"/>
            <w:hideMark/>
          </w:tcPr>
          <w:p w:rsidR="00A22D72" w:rsidRPr="00A22D72" w:rsidRDefault="00A22D72" w:rsidP="00A22D72">
            <w:pPr>
              <w:spacing w:after="0" w:line="240" w:lineRule="auto"/>
              <w:rPr>
                <w:rFonts w:eastAsia="Times New Roman" w:cs="Arial"/>
                <w:color w:val="222222"/>
              </w:rPr>
            </w:pPr>
            <w:r w:rsidRPr="00A22D72">
              <w:rPr>
                <w:rFonts w:eastAsia="Times New Roman" w:cs="Arial"/>
                <w:color w:val="222222"/>
              </w:rPr>
              <w:t> </w:t>
            </w:r>
            <w:r w:rsidRPr="00A22D72">
              <w:rPr>
                <w:rFonts w:eastAsia="Times New Roman" w:cs="Times New Roman"/>
              </w:rPr>
              <w:br/>
            </w:r>
          </w:p>
        </w:tc>
        <w:tc>
          <w:tcPr>
            <w:tcW w:w="0" w:type="auto"/>
            <w:vAlign w:val="center"/>
            <w:hideMark/>
          </w:tcPr>
          <w:p w:rsidR="00A22D72" w:rsidRPr="00A22D72" w:rsidRDefault="00A22D72" w:rsidP="00A22D72">
            <w:pPr>
              <w:spacing w:after="0" w:line="240" w:lineRule="auto"/>
              <w:rPr>
                <w:rFonts w:eastAsia="Times New Roman" w:cs="Times New Roman"/>
              </w:rPr>
            </w:pPr>
          </w:p>
        </w:tc>
        <w:tc>
          <w:tcPr>
            <w:tcW w:w="0" w:type="auto"/>
            <w:vAlign w:val="center"/>
            <w:hideMark/>
          </w:tcPr>
          <w:p w:rsidR="00A22D72" w:rsidRPr="00A22D72" w:rsidRDefault="00A22D72" w:rsidP="00A22D72">
            <w:pPr>
              <w:spacing w:after="0" w:line="240" w:lineRule="auto"/>
              <w:rPr>
                <w:rFonts w:eastAsia="Times New Roman" w:cs="Times New Roman"/>
              </w:rPr>
            </w:pPr>
          </w:p>
        </w:tc>
      </w:tr>
      <w:tr w:rsidR="00B22499" w:rsidRPr="00A22D72" w:rsidTr="00A22D72">
        <w:trPr>
          <w:trHeight w:val="276"/>
        </w:trPr>
        <w:tc>
          <w:tcPr>
            <w:tcW w:w="0" w:type="auto"/>
            <w:shd w:val="clear" w:color="auto" w:fill="FFFFFF"/>
            <w:vAlign w:val="center"/>
            <w:hideMark/>
          </w:tcPr>
          <w:p w:rsidR="00B22499" w:rsidRPr="00A22D72" w:rsidRDefault="00B22499" w:rsidP="00A22D72">
            <w:pPr>
              <w:spacing w:after="0" w:line="240" w:lineRule="auto"/>
              <w:rPr>
                <w:rFonts w:eastAsia="Times New Roman" w:cs="Arial"/>
                <w:color w:val="222222"/>
              </w:rPr>
            </w:pPr>
          </w:p>
        </w:tc>
        <w:tc>
          <w:tcPr>
            <w:tcW w:w="0" w:type="auto"/>
            <w:shd w:val="clear" w:color="auto" w:fill="FFFFFF"/>
            <w:vAlign w:val="center"/>
            <w:hideMark/>
          </w:tcPr>
          <w:p w:rsidR="00B22499" w:rsidRPr="00A22D72" w:rsidRDefault="00B22499" w:rsidP="00A22D72">
            <w:pPr>
              <w:spacing w:after="0" w:line="240" w:lineRule="auto"/>
              <w:jc w:val="right"/>
              <w:rPr>
                <w:rFonts w:eastAsia="Times New Roman" w:cs="Arial"/>
                <w:color w:val="222222"/>
              </w:rPr>
            </w:pPr>
          </w:p>
        </w:tc>
        <w:tc>
          <w:tcPr>
            <w:tcW w:w="0" w:type="auto"/>
            <w:shd w:val="clear" w:color="auto" w:fill="FFFFFF"/>
            <w:vAlign w:val="center"/>
            <w:hideMark/>
          </w:tcPr>
          <w:p w:rsidR="00B22499" w:rsidRPr="00A22D72" w:rsidRDefault="00B22499" w:rsidP="00A22D72">
            <w:pPr>
              <w:spacing w:after="0" w:line="240" w:lineRule="auto"/>
              <w:rPr>
                <w:rFonts w:eastAsia="Times New Roman" w:cs="Arial"/>
                <w:color w:val="222222"/>
              </w:rPr>
            </w:pPr>
          </w:p>
        </w:tc>
        <w:tc>
          <w:tcPr>
            <w:tcW w:w="0" w:type="auto"/>
            <w:vAlign w:val="center"/>
            <w:hideMark/>
          </w:tcPr>
          <w:p w:rsidR="00B22499" w:rsidRPr="00A22D72" w:rsidRDefault="00B22499" w:rsidP="00A22D72">
            <w:pPr>
              <w:spacing w:after="0" w:line="240" w:lineRule="auto"/>
              <w:rPr>
                <w:rFonts w:eastAsia="Times New Roman" w:cs="Times New Roman"/>
              </w:rPr>
            </w:pPr>
          </w:p>
        </w:tc>
        <w:tc>
          <w:tcPr>
            <w:tcW w:w="0" w:type="auto"/>
            <w:vAlign w:val="center"/>
            <w:hideMark/>
          </w:tcPr>
          <w:p w:rsidR="00B22499" w:rsidRPr="00A22D72" w:rsidRDefault="00B22499" w:rsidP="00A22D72">
            <w:pPr>
              <w:spacing w:after="0" w:line="240" w:lineRule="auto"/>
              <w:rPr>
                <w:rFonts w:eastAsia="Times New Roman" w:cs="Times New Roman"/>
              </w:rPr>
            </w:pPr>
          </w:p>
        </w:tc>
      </w:tr>
    </w:tbl>
    <w:p w:rsidR="00A44EAA" w:rsidRDefault="00A22D72" w:rsidP="00923A32">
      <w:pPr>
        <w:pStyle w:val="ListParagraph"/>
      </w:pPr>
      <w:r>
        <w:t>The test statistic is -8.783914016 and the p-value is 5.9543 * 10</w:t>
      </w:r>
      <w:r>
        <w:rPr>
          <w:vertAlign w:val="superscript"/>
        </w:rPr>
        <w:t>-13</w:t>
      </w:r>
      <w:r>
        <w:t xml:space="preserve">.  </w:t>
      </w:r>
      <w:r w:rsidR="00F83E37">
        <w:t xml:space="preserve">Our alpha is .05.  Thus, since our p-value is less than our alpha we will reject the null hypothesis and conclude that the students who did not do the extra credit did significantly worse than the students who did the extra </w:t>
      </w:r>
      <w:proofErr w:type="gramStart"/>
      <w:r w:rsidR="00F83E37">
        <w:t>credit.</w:t>
      </w:r>
      <w:proofErr w:type="gramEnd"/>
      <w:r w:rsidR="00F83E37">
        <w:t xml:space="preserve"> </w:t>
      </w:r>
    </w:p>
    <w:p w:rsidR="004E7BA2" w:rsidRDefault="00805C32" w:rsidP="004E7BA2">
      <w:pPr>
        <w:pStyle w:val="ListParagraph"/>
        <w:numPr>
          <w:ilvl w:val="0"/>
          <w:numId w:val="1"/>
        </w:numPr>
      </w:pPr>
      <w:r>
        <w:t>H</w:t>
      </w:r>
      <w:r w:rsidRPr="004E7BA2">
        <w:rPr>
          <w:vertAlign w:val="subscript"/>
        </w:rPr>
        <w:t>0</w:t>
      </w:r>
      <w:r>
        <w:t>: µ</w:t>
      </w:r>
      <w:r w:rsidRPr="004E7BA2">
        <w:rPr>
          <w:vertAlign w:val="subscript"/>
        </w:rPr>
        <w:t>D</w:t>
      </w:r>
      <w:r>
        <w:t>=0, meaning that there is no difference in the material of the first and second midterms.</w:t>
      </w:r>
    </w:p>
    <w:p w:rsidR="00805C32" w:rsidRDefault="00805C32" w:rsidP="004E7BA2">
      <w:pPr>
        <w:ind w:left="720"/>
      </w:pPr>
      <w:r>
        <w:t>H</w:t>
      </w:r>
      <w:r w:rsidRPr="004E7BA2">
        <w:rPr>
          <w:vertAlign w:val="subscript"/>
        </w:rPr>
        <w:t>a</w:t>
      </w:r>
      <w:r>
        <w:t>: µ</w:t>
      </w:r>
      <w:r w:rsidRPr="004E7BA2">
        <w:rPr>
          <w:vertAlign w:val="subscript"/>
        </w:rPr>
        <w:t>D</w:t>
      </w:r>
      <w:r>
        <w:t xml:space="preserve"> &gt;0, meaning that the second midterm is harder than the first midterm based on the students grades are worse for the second midterm.</w:t>
      </w:r>
    </w:p>
    <w:tbl>
      <w:tblPr>
        <w:tblW w:w="5740" w:type="dxa"/>
        <w:shd w:val="clear" w:color="auto" w:fill="FFFFFF"/>
        <w:tblCellMar>
          <w:left w:w="0" w:type="dxa"/>
          <w:right w:w="0" w:type="dxa"/>
        </w:tblCellMar>
        <w:tblLook w:val="04A0"/>
      </w:tblPr>
      <w:tblGrid>
        <w:gridCol w:w="3282"/>
        <w:gridCol w:w="1388"/>
        <w:gridCol w:w="1070"/>
      </w:tblGrid>
      <w:tr w:rsidR="003125B8" w:rsidRPr="003125B8" w:rsidTr="003125B8">
        <w:trPr>
          <w:trHeight w:val="264"/>
        </w:trPr>
        <w:tc>
          <w:tcPr>
            <w:tcW w:w="5740" w:type="dxa"/>
            <w:gridSpan w:val="3"/>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t-Test: Paired Two Sample for Means</w:t>
            </w:r>
          </w:p>
        </w:tc>
      </w:tr>
      <w:tr w:rsidR="003125B8" w:rsidRPr="003125B8" w:rsidTr="003125B8">
        <w:trPr>
          <w:trHeight w:val="276"/>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 </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Midterm1</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Midterm2</w:t>
            </w: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Mean</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78.22857143</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77.81905</w:t>
            </w: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Variance</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68.19725275</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95.53425</w:t>
            </w: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Observations</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105</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105</w:t>
            </w: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Pearson Correlation</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0.858099719</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Hypothesized Mean Difference</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0</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roofErr w:type="spellStart"/>
            <w:r w:rsidRPr="003125B8">
              <w:rPr>
                <w:rFonts w:eastAsia="Times New Roman" w:cs="Arial"/>
                <w:color w:val="222222"/>
              </w:rPr>
              <w:t>df</w:t>
            </w:r>
            <w:proofErr w:type="spellEnd"/>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104</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t Stat</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0.835842822</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P(T&lt;=t) one-tail</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0.202579788</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t Critical one-tail</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1.659637437</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64"/>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P(T&lt;=t) two-tail</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0.405159575</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p>
        </w:tc>
      </w:tr>
      <w:tr w:rsidR="003125B8" w:rsidRPr="003125B8" w:rsidTr="003125B8">
        <w:trPr>
          <w:trHeight w:val="276"/>
        </w:trPr>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t Critical two-tail</w:t>
            </w:r>
          </w:p>
        </w:tc>
        <w:tc>
          <w:tcPr>
            <w:tcW w:w="0" w:type="auto"/>
            <w:shd w:val="clear" w:color="auto" w:fill="FFFFFF"/>
            <w:vAlign w:val="center"/>
            <w:hideMark/>
          </w:tcPr>
          <w:p w:rsidR="003125B8" w:rsidRPr="003125B8" w:rsidRDefault="003125B8" w:rsidP="003125B8">
            <w:pPr>
              <w:spacing w:after="0" w:line="240" w:lineRule="auto"/>
              <w:jc w:val="right"/>
              <w:rPr>
                <w:rFonts w:eastAsia="Times New Roman" w:cs="Arial"/>
                <w:color w:val="222222"/>
              </w:rPr>
            </w:pPr>
            <w:r w:rsidRPr="003125B8">
              <w:rPr>
                <w:rFonts w:eastAsia="Times New Roman" w:cs="Arial"/>
                <w:color w:val="222222"/>
              </w:rPr>
              <w:t>1.983037526</w:t>
            </w:r>
          </w:p>
        </w:tc>
        <w:tc>
          <w:tcPr>
            <w:tcW w:w="0" w:type="auto"/>
            <w:shd w:val="clear" w:color="auto" w:fill="FFFFFF"/>
            <w:vAlign w:val="center"/>
            <w:hideMark/>
          </w:tcPr>
          <w:p w:rsidR="003125B8" w:rsidRPr="003125B8" w:rsidRDefault="003125B8" w:rsidP="003125B8">
            <w:pPr>
              <w:spacing w:after="0" w:line="240" w:lineRule="auto"/>
              <w:rPr>
                <w:rFonts w:eastAsia="Times New Roman" w:cs="Arial"/>
                <w:color w:val="222222"/>
              </w:rPr>
            </w:pPr>
            <w:r w:rsidRPr="003125B8">
              <w:rPr>
                <w:rFonts w:eastAsia="Times New Roman" w:cs="Arial"/>
                <w:color w:val="222222"/>
              </w:rPr>
              <w:t> </w:t>
            </w:r>
          </w:p>
        </w:tc>
      </w:tr>
      <w:tr w:rsidR="00B22499" w:rsidRPr="003125B8" w:rsidTr="003125B8">
        <w:trPr>
          <w:trHeight w:val="276"/>
        </w:trPr>
        <w:tc>
          <w:tcPr>
            <w:tcW w:w="0" w:type="auto"/>
            <w:shd w:val="clear" w:color="auto" w:fill="FFFFFF"/>
            <w:vAlign w:val="center"/>
            <w:hideMark/>
          </w:tcPr>
          <w:p w:rsidR="00B22499" w:rsidRPr="003125B8" w:rsidRDefault="00B22499" w:rsidP="003125B8">
            <w:pPr>
              <w:spacing w:after="0" w:line="240" w:lineRule="auto"/>
              <w:rPr>
                <w:rFonts w:eastAsia="Times New Roman" w:cs="Arial"/>
                <w:color w:val="222222"/>
              </w:rPr>
            </w:pPr>
          </w:p>
        </w:tc>
        <w:tc>
          <w:tcPr>
            <w:tcW w:w="0" w:type="auto"/>
            <w:shd w:val="clear" w:color="auto" w:fill="FFFFFF"/>
            <w:vAlign w:val="center"/>
            <w:hideMark/>
          </w:tcPr>
          <w:p w:rsidR="00B22499" w:rsidRPr="003125B8" w:rsidRDefault="00B22499" w:rsidP="003125B8">
            <w:pPr>
              <w:spacing w:after="0" w:line="240" w:lineRule="auto"/>
              <w:jc w:val="right"/>
              <w:rPr>
                <w:rFonts w:eastAsia="Times New Roman" w:cs="Arial"/>
                <w:color w:val="222222"/>
              </w:rPr>
            </w:pPr>
          </w:p>
        </w:tc>
        <w:tc>
          <w:tcPr>
            <w:tcW w:w="0" w:type="auto"/>
            <w:shd w:val="clear" w:color="auto" w:fill="FFFFFF"/>
            <w:vAlign w:val="center"/>
            <w:hideMark/>
          </w:tcPr>
          <w:p w:rsidR="00B22499" w:rsidRPr="003125B8" w:rsidRDefault="00B22499" w:rsidP="003125B8">
            <w:pPr>
              <w:spacing w:after="0" w:line="240" w:lineRule="auto"/>
              <w:rPr>
                <w:rFonts w:eastAsia="Times New Roman" w:cs="Arial"/>
                <w:color w:val="222222"/>
              </w:rPr>
            </w:pPr>
          </w:p>
        </w:tc>
      </w:tr>
    </w:tbl>
    <w:p w:rsidR="004E7BA2" w:rsidRDefault="003125B8" w:rsidP="00805C32">
      <w:pPr>
        <w:pStyle w:val="ListParagraph"/>
      </w:pPr>
      <w:r>
        <w:t>The test statistic is 0.835842822 and the p-value 0.202579788.</w:t>
      </w:r>
      <w:r w:rsidR="004E7BA2">
        <w:t xml:space="preserve">  Our alpha is .05.  Since our p-value is greater than our alpha, we do not reject the null hypothesis and conclude that the second midterm is not more difficult than the first midterm, according to the students’ grades.</w:t>
      </w:r>
    </w:p>
    <w:p w:rsidR="00FB1EAB" w:rsidRDefault="00FB1EAB" w:rsidP="00FB1EAB">
      <w:pPr>
        <w:pStyle w:val="ListParagraph"/>
        <w:numPr>
          <w:ilvl w:val="0"/>
          <w:numId w:val="1"/>
        </w:numPr>
      </w:pPr>
      <w:r>
        <w:t>H</w:t>
      </w:r>
      <w:r>
        <w:rPr>
          <w:vertAlign w:val="subscript"/>
        </w:rPr>
        <w:t>0</w:t>
      </w:r>
      <w:r>
        <w:t>: µ</w:t>
      </w:r>
      <w:r>
        <w:rPr>
          <w:vertAlign w:val="subscript"/>
        </w:rPr>
        <w:t>1</w:t>
      </w:r>
      <w:r>
        <w:t>=µ</w:t>
      </w:r>
      <w:r>
        <w:rPr>
          <w:vertAlign w:val="subscript"/>
        </w:rPr>
        <w:t>2</w:t>
      </w:r>
      <w:r>
        <w:t>=</w:t>
      </w:r>
      <w:r w:rsidRPr="00FB1EAB">
        <w:t xml:space="preserve"> </w:t>
      </w:r>
      <w:r>
        <w:t>µ</w:t>
      </w:r>
      <w:r>
        <w:rPr>
          <w:vertAlign w:val="subscript"/>
        </w:rPr>
        <w:t>3</w:t>
      </w:r>
      <w:r>
        <w:t>=µ</w:t>
      </w:r>
      <w:r>
        <w:rPr>
          <w:vertAlign w:val="subscript"/>
        </w:rPr>
        <w:t>4</w:t>
      </w:r>
      <w:r>
        <w:t>, meaning that the average final score for all four classes are the same</w:t>
      </w:r>
    </w:p>
    <w:p w:rsidR="004E7BA2" w:rsidRDefault="00FB1EAB" w:rsidP="00FB1EAB">
      <w:pPr>
        <w:pStyle w:val="ListParagraph"/>
      </w:pPr>
      <w:r>
        <w:t>H</w:t>
      </w:r>
      <w:r>
        <w:rPr>
          <w:vertAlign w:val="subscript"/>
        </w:rPr>
        <w:t>a</w:t>
      </w:r>
      <w:r>
        <w:t>:</w:t>
      </w:r>
      <w:r w:rsidRPr="00923A32">
        <w:t xml:space="preserve"> </w:t>
      </w:r>
      <w:r>
        <w:t>at least two of the classes have different averages for the final score</w:t>
      </w:r>
    </w:p>
    <w:tbl>
      <w:tblPr>
        <w:tblW w:w="9580" w:type="dxa"/>
        <w:shd w:val="clear" w:color="auto" w:fill="FFFFFF"/>
        <w:tblCellMar>
          <w:left w:w="0" w:type="dxa"/>
          <w:right w:w="0" w:type="dxa"/>
        </w:tblCellMar>
        <w:tblLook w:val="04A0"/>
      </w:tblPr>
      <w:tblGrid>
        <w:gridCol w:w="3160"/>
        <w:gridCol w:w="1620"/>
        <w:gridCol w:w="960"/>
        <w:gridCol w:w="960"/>
        <w:gridCol w:w="960"/>
        <w:gridCol w:w="960"/>
        <w:gridCol w:w="960"/>
      </w:tblGrid>
      <w:tr w:rsidR="00361018" w:rsidRPr="00361018" w:rsidTr="00361018">
        <w:trPr>
          <w:trHeight w:val="264"/>
        </w:trPr>
        <w:tc>
          <w:tcPr>
            <w:tcW w:w="3160" w:type="dxa"/>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roofErr w:type="spellStart"/>
            <w:r w:rsidRPr="00361018">
              <w:rPr>
                <w:rFonts w:ascii="Arial" w:eastAsia="Times New Roman" w:hAnsi="Arial" w:cs="Arial"/>
                <w:color w:val="222222"/>
                <w:sz w:val="19"/>
                <w:szCs w:val="19"/>
              </w:rPr>
              <w:lastRenderedPageBreak/>
              <w:t>Anova</w:t>
            </w:r>
            <w:proofErr w:type="spellEnd"/>
            <w:r w:rsidRPr="00361018">
              <w:rPr>
                <w:rFonts w:ascii="Arial" w:eastAsia="Times New Roman" w:hAnsi="Arial" w:cs="Arial"/>
                <w:color w:val="222222"/>
                <w:sz w:val="19"/>
                <w:szCs w:val="19"/>
              </w:rPr>
              <w:t>: Single Factor</w:t>
            </w:r>
          </w:p>
        </w:tc>
        <w:tc>
          <w:tcPr>
            <w:tcW w:w="1620" w:type="dxa"/>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960" w:type="dxa"/>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76"/>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SUMMARY</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Groups</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Count</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Sum</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Average</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Variance</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Freshmen</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48</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3709</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77.27083</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47.77615</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Sophomores</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26</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2048</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78.76923</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61.54462</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Juniors</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17</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1369</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80.52941</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54.76471</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76"/>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Seniors</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14</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1028</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73.42857</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34.87912</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76"/>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ANOVA</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Source of Variation</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SS</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roofErr w:type="spellStart"/>
            <w:r w:rsidRPr="00361018">
              <w:rPr>
                <w:rFonts w:ascii="Arial" w:eastAsia="Times New Roman" w:hAnsi="Arial" w:cs="Arial"/>
                <w:color w:val="222222"/>
                <w:sz w:val="19"/>
                <w:szCs w:val="19"/>
              </w:rPr>
              <w:t>df</w:t>
            </w:r>
            <w:proofErr w:type="spellEnd"/>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MS</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F</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P-value</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 xml:space="preserve">F </w:t>
            </w:r>
            <w:proofErr w:type="spellStart"/>
            <w:r w:rsidRPr="00361018">
              <w:rPr>
                <w:rFonts w:ascii="Arial" w:eastAsia="Times New Roman" w:hAnsi="Arial" w:cs="Arial"/>
                <w:color w:val="222222"/>
                <w:sz w:val="19"/>
                <w:szCs w:val="19"/>
              </w:rPr>
              <w:t>crit</w:t>
            </w:r>
            <w:proofErr w:type="spellEnd"/>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Between Groups</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429.898726</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3</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143.2996</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2.830258</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0.042194</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2.694618</w:t>
            </w: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Within Groups</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5113.758417</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101</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50.63127</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64"/>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p>
        </w:tc>
      </w:tr>
      <w:tr w:rsidR="00361018" w:rsidRPr="00361018" w:rsidTr="00361018">
        <w:trPr>
          <w:trHeight w:val="276"/>
        </w:trPr>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Total</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5543.657143</w:t>
            </w:r>
          </w:p>
        </w:tc>
        <w:tc>
          <w:tcPr>
            <w:tcW w:w="0" w:type="auto"/>
            <w:shd w:val="clear" w:color="auto" w:fill="FFFFFF"/>
            <w:vAlign w:val="center"/>
            <w:hideMark/>
          </w:tcPr>
          <w:p w:rsidR="00361018" w:rsidRPr="00361018" w:rsidRDefault="00361018" w:rsidP="00361018">
            <w:pPr>
              <w:spacing w:after="0" w:line="240" w:lineRule="auto"/>
              <w:jc w:val="right"/>
              <w:rPr>
                <w:rFonts w:ascii="Arial" w:eastAsia="Times New Roman" w:hAnsi="Arial" w:cs="Arial"/>
                <w:color w:val="222222"/>
                <w:sz w:val="19"/>
                <w:szCs w:val="19"/>
              </w:rPr>
            </w:pPr>
            <w:r w:rsidRPr="00361018">
              <w:rPr>
                <w:rFonts w:ascii="Arial" w:eastAsia="Times New Roman" w:hAnsi="Arial" w:cs="Arial"/>
                <w:color w:val="222222"/>
                <w:sz w:val="19"/>
                <w:szCs w:val="19"/>
              </w:rPr>
              <w:t>104</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 </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 </w:t>
            </w:r>
          </w:p>
        </w:tc>
        <w:tc>
          <w:tcPr>
            <w:tcW w:w="0" w:type="auto"/>
            <w:shd w:val="clear" w:color="auto" w:fill="FFFFFF"/>
            <w:vAlign w:val="center"/>
            <w:hideMark/>
          </w:tcPr>
          <w:p w:rsidR="00361018" w:rsidRPr="00361018" w:rsidRDefault="00361018" w:rsidP="00361018">
            <w:pPr>
              <w:spacing w:after="0" w:line="240" w:lineRule="auto"/>
              <w:rPr>
                <w:rFonts w:ascii="Arial" w:eastAsia="Times New Roman" w:hAnsi="Arial" w:cs="Arial"/>
                <w:color w:val="222222"/>
                <w:sz w:val="19"/>
                <w:szCs w:val="19"/>
              </w:rPr>
            </w:pPr>
            <w:r w:rsidRPr="00361018">
              <w:rPr>
                <w:rFonts w:ascii="Arial" w:eastAsia="Times New Roman" w:hAnsi="Arial" w:cs="Arial"/>
                <w:color w:val="222222"/>
                <w:sz w:val="19"/>
                <w:szCs w:val="19"/>
              </w:rPr>
              <w:t> </w:t>
            </w:r>
          </w:p>
        </w:tc>
        <w:tc>
          <w:tcPr>
            <w:tcW w:w="0" w:type="auto"/>
            <w:shd w:val="clear" w:color="auto" w:fill="FFFFFF"/>
            <w:vAlign w:val="center"/>
            <w:hideMark/>
          </w:tcPr>
          <w:p w:rsidR="00361018" w:rsidRPr="00361018" w:rsidRDefault="00361018" w:rsidP="00361018">
            <w:pPr>
              <w:spacing w:after="0" w:line="240" w:lineRule="auto"/>
              <w:rPr>
                <w:rFonts w:ascii="Times New Roman" w:eastAsia="Times New Roman" w:hAnsi="Times New Roman" w:cs="Times New Roman"/>
                <w:sz w:val="20"/>
                <w:szCs w:val="20"/>
              </w:rPr>
            </w:pPr>
          </w:p>
        </w:tc>
      </w:tr>
    </w:tbl>
    <w:p w:rsidR="00851522" w:rsidRDefault="00851522" w:rsidP="00FB1EAB">
      <w:pPr>
        <w:pStyle w:val="ListParagraph"/>
      </w:pPr>
    </w:p>
    <w:p w:rsidR="00361018" w:rsidRDefault="00361018" w:rsidP="00FB1EAB">
      <w:pPr>
        <w:pStyle w:val="ListParagraph"/>
      </w:pPr>
      <w:r>
        <w:t xml:space="preserve">The test statistic is 2.830258 and the p-value is 0.042194.  Our alpha is .05.  Since our p-value is less than our alpha, we reject the null hypothesis and conclude that there are at least two classes for which the average of the final exam scores are not equal. </w:t>
      </w:r>
    </w:p>
    <w:p w:rsidR="00FB1EAB" w:rsidRDefault="00FB1EAB" w:rsidP="00FB1EAB">
      <w:pPr>
        <w:pStyle w:val="ListParagraph"/>
      </w:pPr>
    </w:p>
    <w:p w:rsidR="003125B8" w:rsidRDefault="003125B8" w:rsidP="00805C32">
      <w:pPr>
        <w:pStyle w:val="ListParagraph"/>
      </w:pPr>
      <w:r>
        <w:t xml:space="preserve">  </w:t>
      </w:r>
    </w:p>
    <w:p w:rsidR="00805C32" w:rsidRDefault="00805C32" w:rsidP="00805C32">
      <w:pPr>
        <w:pStyle w:val="ListParagraph"/>
      </w:pPr>
    </w:p>
    <w:p w:rsidR="00805C32" w:rsidRDefault="00805C32" w:rsidP="00805C32"/>
    <w:p w:rsidR="00805C32" w:rsidRPr="00923A32" w:rsidRDefault="00805C32" w:rsidP="00805C32"/>
    <w:sectPr w:rsidR="00805C32" w:rsidRPr="00923A32" w:rsidSect="0084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504D2"/>
    <w:multiLevelType w:val="hybridMultilevel"/>
    <w:tmpl w:val="0D6AE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3F53"/>
    <w:rsid w:val="000B350D"/>
    <w:rsid w:val="000B5832"/>
    <w:rsid w:val="000E5C12"/>
    <w:rsid w:val="003125B8"/>
    <w:rsid w:val="00361018"/>
    <w:rsid w:val="004E7BA2"/>
    <w:rsid w:val="006055A7"/>
    <w:rsid w:val="00805C32"/>
    <w:rsid w:val="008459E6"/>
    <w:rsid w:val="00851522"/>
    <w:rsid w:val="008E5627"/>
    <w:rsid w:val="00923A32"/>
    <w:rsid w:val="00A22D72"/>
    <w:rsid w:val="00A44EAA"/>
    <w:rsid w:val="00A4558F"/>
    <w:rsid w:val="00B22499"/>
    <w:rsid w:val="00DF3F53"/>
    <w:rsid w:val="00F83E37"/>
    <w:rsid w:val="00FB1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F53"/>
    <w:pPr>
      <w:ind w:left="720"/>
      <w:contextualSpacing/>
    </w:pPr>
  </w:style>
</w:styles>
</file>

<file path=word/webSettings.xml><?xml version="1.0" encoding="utf-8"?>
<w:webSettings xmlns:r="http://schemas.openxmlformats.org/officeDocument/2006/relationships" xmlns:w="http://schemas.openxmlformats.org/wordprocessingml/2006/main">
  <w:divs>
    <w:div w:id="572742847">
      <w:bodyDiv w:val="1"/>
      <w:marLeft w:val="0"/>
      <w:marRight w:val="0"/>
      <w:marTop w:val="0"/>
      <w:marBottom w:val="0"/>
      <w:divBdr>
        <w:top w:val="none" w:sz="0" w:space="0" w:color="auto"/>
        <w:left w:val="none" w:sz="0" w:space="0" w:color="auto"/>
        <w:bottom w:val="none" w:sz="0" w:space="0" w:color="auto"/>
        <w:right w:val="none" w:sz="0" w:space="0" w:color="auto"/>
      </w:divBdr>
    </w:div>
    <w:div w:id="595020092">
      <w:bodyDiv w:val="1"/>
      <w:marLeft w:val="0"/>
      <w:marRight w:val="0"/>
      <w:marTop w:val="0"/>
      <w:marBottom w:val="0"/>
      <w:divBdr>
        <w:top w:val="none" w:sz="0" w:space="0" w:color="auto"/>
        <w:left w:val="none" w:sz="0" w:space="0" w:color="auto"/>
        <w:bottom w:val="none" w:sz="0" w:space="0" w:color="auto"/>
        <w:right w:val="none" w:sz="0" w:space="0" w:color="auto"/>
      </w:divBdr>
    </w:div>
    <w:div w:id="818959626">
      <w:bodyDiv w:val="1"/>
      <w:marLeft w:val="0"/>
      <w:marRight w:val="0"/>
      <w:marTop w:val="0"/>
      <w:marBottom w:val="0"/>
      <w:divBdr>
        <w:top w:val="none" w:sz="0" w:space="0" w:color="auto"/>
        <w:left w:val="none" w:sz="0" w:space="0" w:color="auto"/>
        <w:bottom w:val="none" w:sz="0" w:space="0" w:color="auto"/>
        <w:right w:val="none" w:sz="0" w:space="0" w:color="auto"/>
      </w:divBdr>
    </w:div>
    <w:div w:id="148963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670</Words>
  <Characters>3823</Characters>
  <Application>Microsoft Office Word</Application>
  <DocSecurity>0</DocSecurity>
  <Lines>31</Lines>
  <Paragraphs>8</Paragraphs>
  <ScaleCrop>false</ScaleCrop>
  <Company>Owner</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21</cp:revision>
  <dcterms:created xsi:type="dcterms:W3CDTF">2015-12-09T04:55:00Z</dcterms:created>
  <dcterms:modified xsi:type="dcterms:W3CDTF">2015-12-09T05:56:00Z</dcterms:modified>
</cp:coreProperties>
</file>