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b/>
          <w:sz w:val="24"/>
        </w:rPr>
        <w:t>3.12.3. Effective Franck–Condon Vibronic Model of the Carbonyl Channel</w:t>
      </w:r>
    </w:p>
    <w:p>
      <w:r>
        <w:t>To determine whether the spectral conclusions remained stable when a major oxidative-emission channel was represented using a vibronically structured molecular model rather than a smooth empirical line shape, an effective Franck–Condon representation was introduced for the triplet-excited carbonyl contribution.</w:t>
      </w:r>
    </w:p>
    <w:p>
      <w:r>
        <w:t>Because the specific carbonyl species generated during infection-associated lipid peroxidation have not been uniquely identified, the calculation was treated as an effective structural model rather than as a molecule-specific spectroscopic assignment. The vibronic progression was represented within a displaced harmonic-oscillator approximation, for which the relative intensity of the nth vibronic transition is given by</w:t>
      </w:r>
    </w:p>
    <w:p>
      <w:pPr>
        <w:spacing w:before="120" w:after="120"/>
        <w:jc w:val="center"/>
      </w:pPr>
      <m:oMathPara>
        <m:oMathParaPr>
          <m:jc m:val="center"/>
        </m:oMathParaPr>
        <m:oMath>
          <m:sSub>
            <m:e>
              <m:r>
                <m:rPr>
                  <m:sty m:val="p"/>
                </m:rPr>
                <m:t>I</m:t>
              </m:r>
            </m:e>
            <m:sub>
              <m:r>
                <m:rPr>
                  <m:sty m:val="p"/>
                </m:rPr>
                <m:t>n</m:t>
              </m:r>
            </m:sub>
          </m:sSub>
          <m:r>
            <m:rPr>
              <m:sty m:val="p"/>
            </m:rPr>
            <m:t> ∝ </m:t>
          </m:r>
          <m:sSup>
            <m:e>
              <m:r>
                <m:rPr>
                  <m:sty m:val="p"/>
                </m:rPr>
                <m:t>e</m:t>
              </m:r>
            </m:e>
            <m:sup>
              <m:r>
                <m:rPr>
                  <m:sty m:val="p"/>
                </m:rPr>
                <m:t>−S</m:t>
              </m:r>
            </m:sup>
          </m:sSup>
          <m:r>
            <m:rPr>
              <m:sty m:val="p"/>
            </m:rPr>
            <m:t> </m:t>
          </m:r>
          <m:f>
            <m:num>
              <m:sSup>
                <m:e>
                  <m:r>
                    <m:rPr>
                      <m:sty m:val="p"/>
                    </m:rPr>
                    <m:t>S</m:t>
                  </m:r>
                </m:e>
                <m:sup>
                  <m:r>
                    <m:rPr>
                      <m:sty m:val="p"/>
                    </m:rPr>
                    <m:t>n</m:t>
                  </m:r>
                </m:sup>
              </m:sSup>
            </m:num>
            <m:den>
              <m:r>
                <m:rPr>
                  <m:sty m:val="p"/>
                </m:rPr>
                <m:t>n!</m:t>
              </m:r>
            </m:den>
          </m:f>
        </m:oMath>
      </m:oMathPara>
    </w:p>
    <w:p>
      <w:r>
        <w:t>where S is the Huang–Rhys factor, which quantifies the displacement between the ground- and excited-state potential-energy surfaces, and n is the vibronic quantum number. The corresponding transition energies were represented as</w:t>
      </w:r>
    </w:p>
    <w:p>
      <w:pPr>
        <w:spacing w:before="120" w:after="120"/>
        <w:jc w:val="center"/>
      </w:pPr>
      <m:oMathPara>
        <m:oMathParaPr>
          <m:jc m:val="center"/>
        </m:oMathParaPr>
        <m:oMath>
          <m:sSub>
            <m:e>
              <m:r>
                <m:rPr>
                  <m:sty m:val="p"/>
                </m:rPr>
                <m:t>E</m:t>
              </m:r>
            </m:e>
            <m:sub>
              <m:r>
                <m:rPr>
                  <m:sty m:val="p"/>
                </m:rPr>
                <m:t>n</m:t>
              </m:r>
            </m:sub>
          </m:sSub>
          <m:r>
            <m:rPr>
              <m:sty m:val="p"/>
            </m:rPr>
            <m:t> = </m:t>
          </m:r>
          <m:sSub>
            <m:e>
              <m:r>
                <m:rPr>
                  <m:sty m:val="p"/>
                </m:rPr>
                <m:t>E</m:t>
              </m:r>
            </m:e>
            <m:sub>
              <m:r>
                <m:rPr>
                  <m:sty m:val="p"/>
                </m:rPr>
                <m:t>00</m:t>
              </m:r>
            </m:sub>
          </m:sSub>
          <m:r>
            <m:rPr>
              <m:sty m:val="p"/>
            </m:rPr>
            <m:t> − nℏ</m:t>
          </m:r>
          <m:sSub>
            <m:e>
              <m:r>
                <m:rPr>
                  <m:sty m:val="p"/>
                </m:rPr>
                <m:t>ω</m:t>
              </m:r>
            </m:e>
            <m:sub>
              <m:r>
                <m:rPr>
                  <m:sty m:val="p"/>
                </m:rPr>
                <m:t>v</m:t>
              </m:r>
            </m:sub>
          </m:sSub>
        </m:oMath>
      </m:oMathPara>
    </w:p>
    <w:p>
      <w:r>
        <w:t>where E₀₀ is the effective 0–0 transition energy and ℏωᵥ is the effective vibrational energy spacing. This formulation generates a progression of vibronic transitions whose relative intensities are determined by the Huang–Rhys factor and whose spacing is governed by the effective vibrational mode.</w:t>
      </w:r>
    </w:p>
    <w:p>
      <w:r>
        <w:t>Individual vibronic transitions were broadened using Gaussian line shapes and summed to generate the effective triplet-carbonyl spectral basis. The nominal model used E₀₀ = 2.75 eV, an effective vibrational spacing of 0.17 eV, a Huang–Rhys factor of S = 1.2, and Gaussian broadening of 0.07 eV. These values produced a broadened carbonyl-emission envelope centered within the experimentally supported spectral region associated with triplet-excited carbonyl emission.</w:t>
      </w:r>
    </w:p>
    <w:p>
      <w:r>
        <w:t>The Franck–Condon basis replaced the corresponding smooth carbonyl channel in the multichannel UPE spectrum, whereas the remaining oxidative and singlet-oxygen-related channels were retained unchanged. Healthy, severe COVID-19, and sepsis spectra were then recalculated using the same disease-dependent channel amplitudes applied in the other spectral structures. This design isolated the effect of introducing vibronic structure into the carbonyl channel without altering the upstream infection–ROS–chemiexcitation dynamics or the relative disease-specific channel weights.</w:t>
      </w:r>
    </w:p>
    <w:p>
      <w:r>
        <w:t>Because the Franck–Condon representation was used as an effective structural test rather than as a unique molecular assignment, its parameters were subsequently varied over physically admissible ranges to determine whether the predicted disease-associated spectral redistribution remained robust to uncertainty in the vibronic description.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3.12.3 - Franck-Condon Vibronic Model</dc:title>
  <dc:subject>Methods subsection with native Word equations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