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4.6. Franck-Condon Vibronic Representation of the Carbonyl Emission Channel</w:t>
      </w:r>
    </w:p>
    <w:p>
      <w:r>
        <w:t>To determine whether the predicted disease-associated spectral redistribution depended on representing oxidative-emission channels with smooth empirical line shapes, an effective Franck-Condon vibronic model was introduced for the triplet-excited carbonyl contribution. The calculation was not intended to assign infection-associated UPE to a single molecular species. Instead, it provided a structurally distinct molecular representation in which vibronic progression arises from displacement between ground- and excited-state potential-energy surfaces. Because the specific carbonyl products generated during infection-associated lipid peroxidation have not been uniquely identified, the calculation was treated as an effective structural model rather than a molecule-specific spectroscopic assignment.</w:t>
      </w:r>
    </w:p>
    <w:p>
      <w:r>
        <w:t>The nominal model used a 0-0 transition energy of 2.75 eV, an effective vibrational spacing of 0.17 eV, a Huang-Rhys factor S = 1.2, and Gaussian broadening of 0.07 eV (Table 7). These parameters generated a broadened effective carbonyl-emission envelope with dominant intensity near 480 nm, within the spectral region associated with triplet-excited carbonyl emission. The resulting vibronic progression and broadened basis function are shown in Figure 10, and the first five transitions are summarized in Table 8.</w:t>
      </w:r>
    </w:p>
    <w:p>
      <w:pPr>
        <w:spacing w:after="60"/>
      </w:pPr>
      <w:r>
        <w:rPr>
          <w:rFonts w:ascii="Times New Roman" w:hAnsi="Times New Roman"/>
          <w:b/>
          <w:sz w:val="21"/>
        </w:rPr>
        <w:t>Table 7. Nominal parameters of the effective Franck-Condon carbonyl model.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33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Nominal value</w:t>
            </w:r>
          </w:p>
        </w:tc>
        <w:tc>
          <w:tcPr>
            <w:tcW w:type="dxa" w:w="33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Role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0-0 transition energy, E00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2.75 eV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Electronic origin of the effective carbonyl transition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Effective vibrational spacing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0.17 eV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Spacing of the vibronic progression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Huang-Rhys factor, S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Controls relative vibronic intensities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Gaussian broadening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0.07 eV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Represents unresolved homogeneous/inhomogeneous broadening</w:t>
            </w:r>
          </w:p>
        </w:tc>
      </w:tr>
      <w:tr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Effective peak wavelength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~480 nm</w:t>
            </w:r>
          </w:p>
        </w:tc>
        <w:tc>
          <w:tcPr>
            <w:tcW w:type="dxa" w:w="3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Resulting dominant carbonyl-like emission region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Times New Roman" w:hAnsi="Times New Roman"/>
          <w:b/>
          <w:sz w:val="21"/>
        </w:rPr>
        <w:t>Table 8. Nominal Franck-Condon vibronic progression.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5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Transition energy (eV)</w:t>
            </w:r>
          </w:p>
        </w:tc>
        <w:tc>
          <w:tcPr>
            <w:tcW w:type="dxa" w:w="25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Transition wavelength (nm)</w:t>
            </w:r>
          </w:p>
        </w:tc>
        <w:tc>
          <w:tcPr>
            <w:tcW w:type="dxa" w:w="25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Relative Franck-Condon weight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2.750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450.9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0.301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2.580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480.6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0.361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2.410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514.5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0.217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2.240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553.5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0.087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2.070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599.0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0.026</w:t>
            </w:r>
          </w:p>
        </w:tc>
      </w:tr>
    </w:tbl>
    <w:p>
      <w:pPr>
        <w:spacing w:after="4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FC1_effective_carbonyl_ba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Times New Roman" w:hAnsi="Times New Roman"/>
          <w:b/>
          <w:sz w:val="21"/>
        </w:rPr>
        <w:t xml:space="preserve">Figure 10. </w:t>
      </w:r>
      <w:r>
        <w:rPr>
          <w:rFonts w:ascii="Times New Roman" w:hAnsi="Times New Roman"/>
          <w:sz w:val="21"/>
        </w:rPr>
        <w:t>Effective Franck-Condon vibronic basis for the triplet-carbonyl-like emission channel. Vertical markers indicate the first several vibronic transition energies. The spectrum is an effective structural representation and is not assigned to a unique infection-specific carbonyl species.</w:t>
      </w:r>
    </w:p>
    <w:p>
      <w:r>
        <w:t>When the Franck-Condon carbonyl basis was incorporated into the multichannel spectral model, the healthy spectral centroid was 528.51 nm, increasing to 571.68 nm for severe COVID-19 and 591.48 nm for sepsis (Figure 11; Table 9). Relative to healthy, these values corresponded to centroid displacements of +43.16 nm for COVID-19 and +62.97 nm for sepsis. The red-to-blue photon-yield ratio showed the same disease ordering, increasing from 0.197 in healthy to 0.449 for COVID-19 and 0.600 for sepsis; the corresponding disease-associated increases were +0.252 and +0.403, respectively.</w:t>
      </w:r>
    </w:p>
    <w:p>
      <w:pPr>
        <w:spacing w:after="60"/>
      </w:pPr>
      <w:r>
        <w:rPr>
          <w:rFonts w:ascii="Times New Roman" w:hAnsi="Times New Roman"/>
          <w:b/>
          <w:sz w:val="21"/>
        </w:rPr>
        <w:t>Table 9. Franck-Condon carbonyl-hybrid spectral outputs.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Condition</w:t>
            </w:r>
          </w:p>
        </w:tc>
        <w:tc>
          <w:tcPr>
            <w:tcW w:type="dxa" w:w="25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Centroid (nm)</w:t>
            </w:r>
          </w:p>
        </w:tc>
        <w:tc>
          <w:tcPr>
            <w:tcW w:type="dxa" w:w="25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Red-to-blue ratio</w:t>
            </w:r>
          </w:p>
        </w:tc>
        <w:tc>
          <w:tcPr>
            <w:tcW w:type="dxa" w:w="252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Peak wavelength (nm)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Healthy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528.51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0.197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480.0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COVID-19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571.68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0.449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480.5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Sepsis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591.48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0.600</w:t>
            </w:r>
          </w:p>
        </w:tc>
        <w:tc>
          <w:tcPr>
            <w:tcW w:type="dxa" w:w="2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633.5</w:t>
            </w:r>
          </w:p>
        </w:tc>
      </w:tr>
    </w:tbl>
    <w:p>
      <w:pPr>
        <w:spacing w:after="4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FC2_disease_spect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Times New Roman" w:hAnsi="Times New Roman"/>
          <w:b/>
          <w:sz w:val="21"/>
        </w:rPr>
        <w:t xml:space="preserve">Figure 11. </w:t>
      </w:r>
      <w:r>
        <w:rPr>
          <w:rFonts w:ascii="Times New Roman" w:hAnsi="Times New Roman"/>
          <w:sz w:val="21"/>
        </w:rPr>
        <w:t>Disease-associated spectra predicted by the Franck-Condon carbonyl hybrid. The model preserves progressive redistribution toward longer-wavelength contributions from healthy to severe COVID-19 to sepsis without changing the intrinsic transition wavelengths of the modeled emitters.</w:t>
      </w:r>
    </w:p>
    <w:p>
      <w:r>
        <w:t>The Franck-Condon representation reproduced the principal qualitative behavior observed with the Voigt, Gaussian, log-normal, and Tsuchida empirical-basis models. Although absolute centroid values differed among the alternative spectral formulations, every model predicted greater relative long-wavelength contribution with increasing oxidative burden. The Franck-Condon COVID-19 centroid displacement of 43.16 nm was close to the approximately 44-45 nm displacement predicted by the analytic models, while the sepsis displacement of 62.97 nm was similarly close to their approximately 65 nm values. The five-model comparison is summarized in Table 10 and Figures 12 and 13.</w:t>
      </w:r>
    </w:p>
    <w:p>
      <w:pPr>
        <w:spacing w:after="60"/>
      </w:pPr>
      <w:r>
        <w:rPr>
          <w:rFonts w:ascii="Times New Roman" w:hAnsi="Times New Roman"/>
          <w:b/>
          <w:sz w:val="21"/>
        </w:rPr>
        <w:t>Table 10. Disease-minus-healthy spectral changes across five structural models.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Spectral model</w:t>
            </w:r>
          </w:p>
        </w:tc>
        <w:tc>
          <w:tcPr>
            <w:tcW w:type="dxa" w:w="20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COVID Δ centroid (nm)</w:t>
            </w:r>
          </w:p>
        </w:tc>
        <w:tc>
          <w:tcPr>
            <w:tcW w:type="dxa" w:w="20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Sepsis Δ centroid (nm)</w:t>
            </w:r>
          </w:p>
        </w:tc>
        <w:tc>
          <w:tcPr>
            <w:tcW w:type="dxa" w:w="20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COVID Δ red/blue</w:t>
            </w:r>
          </w:p>
        </w:tc>
        <w:tc>
          <w:tcPr>
            <w:tcW w:type="dxa" w:w="2016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Sepsis Δ red/blue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Voigt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44.63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64.96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0.253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0.404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Gaussian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45.00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65.69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0.260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0.414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Log-normal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44.45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64.61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0.278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0.441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Tsuchida empirical hybrid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37.49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55.24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0.316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0.502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Franck-Condon hybrid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43.16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62.97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0.252</w:t>
            </w:r>
          </w:p>
        </w:tc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0.403</w:t>
            </w:r>
          </w:p>
        </w:tc>
      </w:tr>
    </w:tbl>
    <w:p>
      <w:pPr>
        <w:spacing w:after="4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76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FC3_five_model_centroid_chan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Times New Roman" w:hAnsi="Times New Roman"/>
          <w:b/>
          <w:sz w:val="21"/>
        </w:rPr>
        <w:t xml:space="preserve">Figure 12. </w:t>
      </w:r>
      <w:r>
        <w:rPr>
          <w:rFonts w:ascii="Times New Roman" w:hAnsi="Times New Roman"/>
          <w:sz w:val="21"/>
        </w:rPr>
        <w:t>Disease-minus-healthy spectral-centroid displacement across five spectral structures. All tested structures preserve a positive centroid displacement for both disease conditions, although the magnitude remains model dependent.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76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FC4_five_model_red_blue_chan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Times New Roman" w:hAnsi="Times New Roman"/>
          <w:b/>
          <w:sz w:val="21"/>
        </w:rPr>
        <w:t xml:space="preserve">Figure 13. </w:t>
      </w:r>
      <w:r>
        <w:rPr>
          <w:rFonts w:ascii="Times New Roman" w:hAnsi="Times New Roman"/>
          <w:sz w:val="21"/>
        </w:rPr>
        <w:t>Disease-minus-healthy change in red-to-blue photon-yield ratio across five spectral structures. All five structures preserve an increased relative contribution from longer-wavelength emission in severe COVID-19 and sepsis.</w:t>
      </w:r>
    </w:p>
    <w:p>
      <w:r>
        <w:t>To test whether the nominal Franck-Condon result depended strongly on a single vibronic parameter set, an exploratory structural sensitivity analysis was performed over 135 admissible parameter combinations per disease condition. The grid varied the 0-0 transition energy, effective vibrational spacing, Huang-Rhys factor, and broadening while retaining effective carbonyl spectra within the predefined physically plausible emission domain. Across all retained parameter sets, both disease conditions preserved a positive centroid displacement relative to healthy and an increase in the red-to-blue photon-yield ratio. The COVID-19 centroid displacement ranged from 39.38 to 49.04 nm, whereas the sepsis displacement ranged from 57.84 to 70.94 nm (Table 11).</w:t>
      </w:r>
    </w:p>
    <w:p>
      <w:pPr>
        <w:spacing w:after="60"/>
      </w:pPr>
      <w:r>
        <w:rPr>
          <w:rFonts w:ascii="Times New Roman" w:hAnsi="Times New Roman"/>
          <w:b/>
          <w:sz w:val="21"/>
        </w:rPr>
        <w:t>Table 11. Exploratory robustness of the Franck-Condon structural prediction.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Condition</w:t>
            </w:r>
          </w:p>
        </w:tc>
        <w:tc>
          <w:tcPr>
            <w:tcW w:type="dxa" w:w="12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Parameter sets</w:t>
            </w:r>
          </w:p>
        </w:tc>
        <w:tc>
          <w:tcPr>
            <w:tcW w:type="dxa" w:w="12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Positive Δ centroid</w:t>
            </w:r>
          </w:p>
        </w:tc>
        <w:tc>
          <w:tcPr>
            <w:tcW w:type="dxa" w:w="12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Median Δ centroid (nm)</w:t>
            </w:r>
          </w:p>
        </w:tc>
        <w:tc>
          <w:tcPr>
            <w:tcW w:type="dxa" w:w="12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Range Δ centroid (nm)</w:t>
            </w:r>
          </w:p>
        </w:tc>
        <w:tc>
          <w:tcPr>
            <w:tcW w:type="dxa" w:w="12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Positive Δ red/blue</w:t>
            </w:r>
          </w:p>
        </w:tc>
        <w:tc>
          <w:tcPr>
            <w:tcW w:type="dxa" w:w="12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Median Δ red/blue</w:t>
            </w:r>
          </w:p>
        </w:tc>
        <w:tc>
          <w:tcPr>
            <w:tcW w:type="dxa" w:w="126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Range Δ red/blue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COVID-19</w:t>
            </w:r>
          </w:p>
        </w:tc>
        <w:tc>
          <w:tcPr>
            <w:tcW w:type="dxa" w:w="12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135</w:t>
            </w:r>
          </w:p>
        </w:tc>
        <w:tc>
          <w:tcPr>
            <w:tcW w:type="dxa" w:w="12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100.0%</w:t>
            </w:r>
          </w:p>
        </w:tc>
        <w:tc>
          <w:tcPr>
            <w:tcW w:type="dxa" w:w="12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44.80</w:t>
            </w:r>
          </w:p>
        </w:tc>
        <w:tc>
          <w:tcPr>
            <w:tcW w:type="dxa" w:w="12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39.38-49.04</w:t>
            </w:r>
          </w:p>
        </w:tc>
        <w:tc>
          <w:tcPr>
            <w:tcW w:type="dxa" w:w="12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100.0%</w:t>
            </w:r>
          </w:p>
        </w:tc>
        <w:tc>
          <w:tcPr>
            <w:tcW w:type="dxa" w:w="12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0.247</w:t>
            </w:r>
          </w:p>
        </w:tc>
        <w:tc>
          <w:tcPr>
            <w:tcW w:type="dxa" w:w="12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0.241-0.271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Sepsis</w:t>
            </w:r>
          </w:p>
        </w:tc>
        <w:tc>
          <w:tcPr>
            <w:tcW w:type="dxa" w:w="12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135</w:t>
            </w:r>
          </w:p>
        </w:tc>
        <w:tc>
          <w:tcPr>
            <w:tcW w:type="dxa" w:w="12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100.0%</w:t>
            </w:r>
          </w:p>
        </w:tc>
        <w:tc>
          <w:tcPr>
            <w:tcW w:type="dxa" w:w="12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65.19</w:t>
            </w:r>
          </w:p>
        </w:tc>
        <w:tc>
          <w:tcPr>
            <w:tcW w:type="dxa" w:w="12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57.84-70.94</w:t>
            </w:r>
          </w:p>
        </w:tc>
        <w:tc>
          <w:tcPr>
            <w:tcW w:type="dxa" w:w="12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100.0%</w:t>
            </w:r>
          </w:p>
        </w:tc>
        <w:tc>
          <w:tcPr>
            <w:tcW w:type="dxa" w:w="12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0.395</w:t>
            </w:r>
          </w:p>
        </w:tc>
        <w:tc>
          <w:tcPr>
            <w:tcW w:type="dxa" w:w="12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0.386-0.433</w:t>
            </w:r>
          </w:p>
        </w:tc>
      </w:tr>
    </w:tbl>
    <w:p>
      <w:pPr>
        <w:spacing w:after="40"/>
      </w:pPr>
    </w:p>
    <w:p>
      <w:r>
        <w:t>The preservation of the sign of the redistribution throughout the admissible Franck-Condon parameter grid provides additional evidence that the direction of the predicted spectral change is structurally robust to uncertainty in the vibronic representation. This should not be interpreted as a statistical probability for real biological systems, because the parameter grid was not sampled from experimentally measured infection-specific molecular distributions.</w:t>
      </w:r>
    </w:p>
    <w:p>
      <w:r>
        <w:t>Importantly, the Franck-Condon result does not identify a particular infection-derived carbonyl species. It addresses a narrower mechanistic question: whether introduction of a vibronically structured molecular-emission channel changes the qualitative spectral conclusions obtained from simpler analytic and empirical line-shape representations. The persistence of the healthy &lt; COVID-19 &lt; sepsis ordering in spectral centroid and red-to-blue photon yield indicates that it does not. Together with the analytic and experimentally derived basis-spectrum analyses in Section 4.5, the Franck-Condon calculation strengthens the conclusion that the predicted disease-associated spectral redistribution is more robust than the exact absolute spectral metrics used to quantify it.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