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Discussion</w:t>
      </w:r>
    </w:p>
    <w:p>
      <w:pPr>
        <w:pStyle w:val="Heading2"/>
        <w:spacing w:before="180" w:after="80"/>
      </w:pPr>
      <w:r>
        <w:t>5.1. Mechanistic support versus quantitative transportability</w:t>
      </w:r>
    </w:p>
    <w:p>
      <w:pPr>
        <w:spacing w:after="120" w:before="0" w:line="276" w:lineRule="auto"/>
        <w:ind w:firstLine="360"/>
      </w:pPr>
      <w:r>
        <w:rPr>
          <w:rFonts w:ascii="Times New Roman" w:hAnsi="Times New Roman"/>
          <w:sz w:val="24"/>
        </w:rPr>
        <w:t>The present study separates two questions that are often conflated in mechanistic models of ultraweak photon emission (UPE): whether the oxidative-to-photon pathway is biologically plausible, and whether a single numerical ROS-to-UPE transfer function can be transported unchanged across experimental systems. The first question is well supported by prior work. NADPH-oxidase-dependent respiratory-burst activity is a major source of immune-cell reactive oxygen species (ROS) [4,5], while mechanistic reviews of UPE identify lipid peroxidation, peroxide decomposition, triplet-excited carbonyls, and singlet-oxygen-related excited states as established routes by which oxidative chemistry can generate weak photon emission [2,3]. Burgos et al. further demonstrated experimentally that stimulation of differentiated HL-60 cells increased UPE and that inhibition of the respiratory burst with diphenyleneiodonium (DPI) markedly reduced the signal [8]. Together, these observations support the pathway topology represented in the present model: immune oxidative activity precedes chemiexcitation and photon emission.</w:t>
      </w:r>
    </w:p>
    <w:p>
      <w:pPr>
        <w:spacing w:after="120" w:before="0" w:line="276" w:lineRule="auto"/>
        <w:ind w:firstLine="360"/>
      </w:pPr>
      <w:r>
        <w:rPr>
          <w:rFonts w:ascii="Times New Roman" w:hAnsi="Times New Roman"/>
          <w:sz w:val="24"/>
        </w:rPr>
        <w:t>The second question—whether one quantitative transfer function can be transported from one preparation to another—remains unresolved. Veenith et al. reported substantially elevated neutrophil oxidative activity in severe COVID-19 and sepsis relative to healthy controls [15], but those measurements reflect leukocyte ROS-generating capacity rather than spontaneous UPE. By contrast, Burgos et al. measured photon emission from differentiated HL-60 cells under a specific respiratory-burst protocol [8]. These studies therefore constrain different levels of the pathway. The present finding that the same upstream oxidative inputs can produce either large high-gain optical amplification or strong saturation is consistent with the conclusion of our earlier multiscale framework [16]: current evidence constrains the direction of the oxidative-to-photon pathway more strongly than it constrains a universal numerical gain. The high-gain and saturating structures should therefore be interpreted as alternative admissible realizations of an incompletely identified transfer process rather than as competing measurements of the same biological quantity.</w:t>
      </w:r>
    </w:p>
    <w:p>
      <w:pPr>
        <w:pStyle w:val="Heading2"/>
        <w:spacing w:before="180" w:after="80"/>
      </w:pPr>
      <w:r>
        <w:t>5.2. Microscopic electron transfer and the reduction to ensemble chemical pumping</w:t>
      </w:r>
    </w:p>
    <w:p>
      <w:pPr>
        <w:spacing w:after="120" w:before="0" w:line="276" w:lineRule="auto"/>
        <w:ind w:firstLine="360"/>
      </w:pPr>
      <w:r>
        <w:rPr>
          <w:rFonts w:ascii="Times New Roman" w:hAnsi="Times New Roman"/>
          <w:sz w:val="24"/>
        </w:rPr>
        <w:t>At the microscopic level, the present model introduces an ROS-mediated electronic-coupling scale to connect oxidative chemistry with molecular excitation. This construction is grounded in established electron-transfer theory rather than in an assumption that ROS behave as a coherent electromagnetic field. Marcus theory shows that electron-transfer rates in condensed-phase systems depend jointly on electronic coupling, reaction energetics, temperature, and environmental reorganization [19], while the broader molecular-transfer framework summarized by May and Kühn emphasizes the central roles of energetic mismatch, nuclear motion, and dissipative environments [20]. Femtosecond electron-transfer studies and tunneling analyses in biomolecular systems further show that electronic coupling and energetic mismatch can operate on ultrafast time scales and can strongly modulate transfer probability [21–23]. The Rabi-like frequency used here should therefore be understood as a convenient microscopic measure of transient electronic mixing during one reactive encounter, not as evidence for laser-like or synchronized oscillation in tissue.</w:t>
      </w:r>
    </w:p>
    <w:p>
      <w:pPr>
        <w:spacing w:after="120" w:before="0" w:line="276" w:lineRule="auto"/>
        <w:ind w:firstLine="360"/>
      </w:pPr>
      <w:r>
        <w:rPr>
          <w:rFonts w:ascii="Times New Roman" w:hAnsi="Times New Roman"/>
          <w:sz w:val="24"/>
        </w:rPr>
        <w:t>The strong-dephasing reduction is equally important. Open quantum-system theory provides a standard framework for describing electronic states that interact continuously with an environment through relaxation, quenching, and dephasing [24–26]. In the present setting, solvent fluctuations, vibrational relaxation, molecular reorganization, product trapping, and heterogeneous local environments rapidly suppress phase information. This physical picture differs fundamentally from long-lived coherent transport proposed in specialized photosynthetic systems [13]; the infection-associated oxidative environment modeled here does not require persistent sample-level coherence. Instead, the agreement between the microscopic encounter model and the reduced chemical-pump description supports a multiscale interpretation in which individual electron-transfer events are quantum mechanical, whereas the experimentally relevant ensemble UPE signal is governed by incoherent reaction kinetics and excited-state population dynamics.</w:t>
      </w:r>
    </w:p>
    <w:p>
      <w:pPr>
        <w:pStyle w:val="Heading2"/>
        <w:spacing w:before="180" w:after="80"/>
      </w:pPr>
      <w:r>
        <w:t>5.3. Respiratory-burst inhibition as a pathway-level consistency test</w:t>
      </w:r>
    </w:p>
    <w:p>
      <w:pPr>
        <w:spacing w:after="120" w:before="0" w:line="276" w:lineRule="auto"/>
        <w:ind w:firstLine="360"/>
      </w:pPr>
      <w:r>
        <w:rPr>
          <w:rFonts w:ascii="Times New Roman" w:hAnsi="Times New Roman"/>
          <w:sz w:val="24"/>
        </w:rPr>
        <w:t>The PMA/DPI analysis provides the most direct literature-based perturbation test of the modeled oxidative-to-emission pathway. Burgos et al. reported that PMA stimulation increased UPE in differentiated HL-60 cells and that DPI reduced the PMA-induced signal to approximately 40–50% of the stimulated value [8]. Under the nominal high-gain structure, a residual oxidative drive of 0.50 produced a DPI/PMA peak-UPE ratio of 0.448, directly overlapping that experimental interval. By contrast, the disease-saturating structure required an effective residual oxidative drive of only about 0.019 to reproduce the same optical ratio. The comparison therefore discriminates between transfer structures at the pathway level, but it does not by itself determine which mapping is biologically correct.</w:t>
      </w:r>
    </w:p>
    <w:p>
      <w:pPr>
        <w:spacing w:after="120" w:before="0" w:line="276" w:lineRule="auto"/>
        <w:ind w:firstLine="360"/>
      </w:pPr>
      <w:r>
        <w:rPr>
          <w:rFonts w:ascii="Times New Roman" w:hAnsi="Times New Roman"/>
          <w:sz w:val="24"/>
        </w:rPr>
        <w:t>This distinction follows from the experimental design of the source study. The UPE response was measured, but the residual oxidative drive corresponding to the modeled variable was not independently quantified in the same preparation. Consequently, agreement with the reported photon ratio cannot be treated as independent validation of a unique ROS-to-UPE function. Rather, the result is consistent with the mechanistic interpretation advanced by Cifra and Pospíšil [2], Pospíšil et al. [3], and Burgos et al. [8], in which oxidative reactions generate electronically excited products whose photon output depends on the intervening chemistry and loss pathways. A decisive validation experiment would therefore require simultaneous measurement of ROS suppression and UPE under the same PMA/DPI perturbation, ideally together with oxidative-intermediate measurements.</w:t>
      </w:r>
    </w:p>
    <w:p>
      <w:pPr>
        <w:pStyle w:val="Heading2"/>
        <w:spacing w:before="180" w:after="80"/>
      </w:pPr>
      <w:r>
        <w:t>5.4. Structural dependence of disease-associated UPE magnitude</w:t>
      </w:r>
    </w:p>
    <w:p>
      <w:pPr>
        <w:spacing w:after="120" w:before="0" w:line="276" w:lineRule="auto"/>
        <w:ind w:firstLine="360"/>
      </w:pPr>
      <w:r>
        <w:rPr>
          <w:rFonts w:ascii="Times New Roman" w:hAnsi="Times New Roman"/>
          <w:sz w:val="24"/>
        </w:rPr>
        <w:t>The largest quantitative uncertainty in the present study arises from the transfer between clinically constrained oxidative activity and downstream photon emission. The same severe-COVID-19 and sepsis oxidative inputs produced nominal peak-UPE fold changes of approximately 42 and 89 in the high-gain structure but only about 1.45-fold in the saturating structure. This large divergence is biologically plausible because UPE is not generated by total ROS directly. Mechanistic reviews emphasize that photon emission depends on the formation and decomposition of specific oxidative intermediates, electronically excited carbonyls, singlet oxygen, and competing non-radiative pathways [2,3]. Thus, a several-fold change in upstream ROS need not translate proportionally into photon flux if downstream chemiexcitation yield, emitter availability, quenching, or excited-state occupancy becomes limiting.</w:t>
      </w:r>
    </w:p>
    <w:p>
      <w:pPr>
        <w:spacing w:after="120" w:before="0" w:line="276" w:lineRule="auto"/>
        <w:ind w:firstLine="360"/>
      </w:pPr>
      <w:r>
        <w:rPr>
          <w:rFonts w:ascii="Times New Roman" w:hAnsi="Times New Roman"/>
          <w:sz w:val="24"/>
        </w:rPr>
        <w:t>The scientific value of the 42-fold and 89-fold scenarios is therefore not that these magnitudes should be expected in patients. Instead, they quantify the consequence of transporting a high-gain cell-level mapping to the much larger oxidative folds reported clinically by Veenith et al. [15]. The alternative saturating solution illustrates the opposite limit, in which finite excited-state occupancy and competing loss pathways compress very large oxidative differences into relatively modest optical separation. The two regimes are therefore best interpreted as a structural prediction envelope. This conclusion extends our previous systems-level study [16] by showing explicitly how microscopic excitation, ensemble pumping, and saturation can generate qualitatively different disease-scale UPE magnitudes even when the upstream clinical oxidative inputs are fixed.</w:t>
      </w:r>
    </w:p>
    <w:p>
      <w:pPr>
        <w:pStyle w:val="Heading2"/>
        <w:spacing w:before="180" w:after="80"/>
      </w:pPr>
      <w:r>
        <w:t>5.5. Temporal dynamics reveal different mechanisms of amplification and saturation</w:t>
      </w:r>
    </w:p>
    <w:p>
      <w:pPr>
        <w:spacing w:after="120" w:before="0" w:line="276" w:lineRule="auto"/>
        <w:ind w:firstLine="360"/>
      </w:pPr>
      <w:r>
        <w:rPr>
          <w:rFonts w:ascii="Times New Roman" w:hAnsi="Times New Roman"/>
          <w:sz w:val="24"/>
        </w:rPr>
        <w:t>The temporal results add a second dimension to the structural comparison. Burgos et al. described UPE as a dynamic reporter of oxidative metabolism [8], and experimental UPE studies more generally emphasize that weak photon emission evolves over time as oxidative chemistry and excited-state populations change [2,8,9]. In the present high-gain structure, disease predominantly changes amplitude while preserving the broad timing of the optical response. This behavior is consistent with amplification of a common underlying pathway. In contrast, the saturating structure produces earlier threshold crossing but a more prolonged approach to the final optical maximum, reflecting the interaction of stronger oxidative drive with finite occupancy and loss terms.</w:t>
      </w:r>
    </w:p>
    <w:p>
      <w:pPr>
        <w:spacing w:after="120" w:before="0" w:line="276" w:lineRule="auto"/>
        <w:ind w:firstLine="360"/>
      </w:pPr>
      <w:r>
        <w:rPr>
          <w:rFonts w:ascii="Times New Roman" w:hAnsi="Times New Roman"/>
          <w:sz w:val="24"/>
        </w:rPr>
        <w:t>These differences suggest a practical way to distinguish amplification from saturation experimentally. If the high-gain regime dominates, normalized UPE time courses should remain broadly similar across oxidative conditions while their amplitudes separate. If the system operates closer to saturation, onset, delay, and peak timing should become increasingly distorted as oxidative burden rises. Time-resolved paired measurements of ROS, oxidative intermediates, and UPE would therefore provide substantially more information than a single peak measurement. Such experiments would also test whether the temporally separated biological, chemical, and photophysical stages assumed in the multiscale model are reflected in measured data.</w:t>
      </w:r>
    </w:p>
    <w:p>
      <w:pPr>
        <w:pStyle w:val="Heading2"/>
        <w:spacing w:before="180" w:after="80"/>
      </w:pPr>
      <w:r>
        <w:t>5.6. Global sensitivity identifies the downstream bottlenecks in quantitative prediction</w:t>
      </w:r>
    </w:p>
    <w:p>
      <w:pPr>
        <w:spacing w:after="120" w:before="0" w:line="276" w:lineRule="auto"/>
        <w:ind w:firstLine="360"/>
      </w:pPr>
      <w:r>
        <w:rPr>
          <w:rFonts w:ascii="Times New Roman" w:hAnsi="Times New Roman"/>
          <w:sz w:val="24"/>
        </w:rPr>
        <w:t>The global sensitivity analysis shows that uncertainty in the clinical disease input is not the dominant source of uncertainty in predicted UPE. For sepsis peak emission, the largest total-order contribution arose from the saturation scale, followed by the decay rate of the emission-relevant oxidative pool and the signaling-to-emission conversion coefficient; the clinical sepsis ROS fold contributed less than these downstream parameters. This finding is consistent with the mechanistic UPE literature, which emphasizes that oxidative photon production depends on multiple intermediate steps between ROS generation and radiative decay [2,3]. In other words, improving the precision of upstream ROS measurement alone cannot make disease-associated UPE quantitatively predictive if the conversion from signaling ROS to chemiexcitation remains poorly constrained.</w:t>
      </w:r>
    </w:p>
    <w:p>
      <w:pPr>
        <w:spacing w:after="120" w:before="0" w:line="276" w:lineRule="auto"/>
        <w:ind w:firstLine="360"/>
      </w:pPr>
      <w:r>
        <w:rPr>
          <w:rFonts w:ascii="Times New Roman" w:hAnsi="Times New Roman"/>
          <w:sz w:val="24"/>
        </w:rPr>
        <w:t>The sensitivity ranking therefore identifies specific experimental priorities: the lifetime of emission-relevant oxidative intermediates, the efficiency with which signaling ROS enters photon-producing chemistry, the effective saturation scale, composite pump gain, quenching, and emitter abundance. This use of global sensitivity analysis is also consistent with systems-biology practice, where uncertainty propagation is employed to distinguish measured inputs from poorly identified internal parameters and to prioritize experiments [32–34]. In the present model, the result is biologically meaningful because it redirects attention from increasingly precise measurement of one upstream biomarker toward the downstream chemical and photophysical quantities that actually control the variance of the predicted optical output.</w:t>
      </w:r>
    </w:p>
    <w:p>
      <w:pPr>
        <w:pStyle w:val="Heading2"/>
        <w:spacing w:before="180" w:after="80"/>
      </w:pPr>
      <w:r>
        <w:t>5.7. Spectral redistribution across analytic, empirical, and vibronic models</w:t>
      </w:r>
    </w:p>
    <w:p>
      <w:pPr>
        <w:spacing w:after="120" w:before="0" w:line="276" w:lineRule="auto"/>
        <w:ind w:firstLine="360"/>
      </w:pPr>
      <w:r>
        <w:rPr>
          <w:rFonts w:ascii="Times New Roman" w:hAnsi="Times New Roman"/>
          <w:sz w:val="24"/>
        </w:rPr>
        <w:t>The wavelength-resolved analyses reveal a distinction between absolute spectral position and disease-associated spectral redistribution. Reviews of biological UPE describe broad visible emission arising from multiple oxidative emitters rather than from a single molecular transition [2,3]. Experimental work by Tsuchida and Kobayashi likewise demonstrated that oxidized biomolecules such as linoleic acid, elastin, phospholipids, linolenic acid, and DHICA exhibit distinct broad UPE spectra, supporting the interpretation of a biological spectrum as a weighted mixture of emitter-specific contributions [37]. The present model reproduces this conceptual picture: disease does not shift the intrinsic transition energy of one molecule, but changes the relative amplitudes of fixed emission channels.</w:t>
      </w:r>
    </w:p>
    <w:p>
      <w:pPr>
        <w:spacing w:after="120" w:before="0" w:line="276" w:lineRule="auto"/>
        <w:ind w:firstLine="360"/>
      </w:pPr>
      <w:r>
        <w:rPr>
          <w:rFonts w:ascii="Times New Roman" w:hAnsi="Times New Roman"/>
          <w:sz w:val="24"/>
        </w:rPr>
        <w:t>The empirical-basis analysis provides an important comparison with experiment because the healthy &lt; severe COVID-19 &lt; sepsis ordering persists when the visible analytic profiles are replaced by the measured Tsuchida biomolecular spectra [37]. The Franck–Condon analysis provides a complementary molecular-level test by replacing a smooth carbonyl envelope with a vibronically structured basis. Across the admissible Franck–Condon parameter grid, the disease-minus-healthy centroid displacement and red-to-blue increase remained positive. This robustness is consistent with the established contribution of triplet carbonyls and singlet-oxygen-related processes to oxidative UPE [2,3]. It also agrees qualitatively with the distinct singlet-oxygen emission channels reported near 634, 703, and 1270 nm [36] and with the time-resolved 1O2 luminescence measurements of Egorov et al. [30].</w:t>
      </w:r>
    </w:p>
    <w:p>
      <w:pPr>
        <w:spacing w:after="120" w:before="0" w:line="276" w:lineRule="auto"/>
        <w:ind w:firstLine="360"/>
      </w:pPr>
      <w:r>
        <w:rPr>
          <w:rFonts w:ascii="Times New Roman" w:hAnsi="Times New Roman"/>
          <w:sz w:val="24"/>
        </w:rPr>
        <w:t>Importantly, the exact centroid values remain model dependent. That behavior is expected because line shape, channel abundance, and spectral weighting differ among Gaussian, Voigt, log-normal, empirical, and Franck–Condon representations. The robust prediction is therefore not a disease-specific wavelength assigned to COVID-19 or sepsis, but a redistribution of the ensemble spectrum toward greater longer-wavelength contribution as modeled oxidative burden increases. This distinction is critical for experimental interpretation and prevents the centroid displacement from being misread as a literal change in the electronic transition energy of an individual emitter.</w:t>
      </w:r>
    </w:p>
    <w:p>
      <w:pPr>
        <w:pStyle w:val="Heading2"/>
        <w:spacing w:before="180" w:after="80"/>
      </w:pPr>
      <w:r>
        <w:t>5.8. Detector weighting, experimental priorities, and falsifiable predictions</w:t>
      </w:r>
    </w:p>
    <w:p>
      <w:pPr>
        <w:spacing w:after="120" w:before="0" w:line="276" w:lineRule="auto"/>
        <w:ind w:firstLine="360"/>
      </w:pPr>
      <w:r>
        <w:rPr>
          <w:rFonts w:ascii="Times New Roman" w:hAnsi="Times New Roman"/>
          <w:sz w:val="24"/>
        </w:rPr>
        <w:t>The detector-forward analysis demonstrates that intrinsic biological spectra and measured spectra are not interchangeable. The H7360-class photosensor used to motivate the detector window has a wavelength-dependent sensitivity that weights only part of the modeled intrinsic emission [35]. After detector weighting, the large intrinsic centroid differences were strongly compressed even though disease-dependent count-rate differences remained. This result provides a direct explanation for why an experiment could observe strong changes in total photon counts while detecting only modest changes in apparent spectral centroid. It also reinforces the need to include optical transmission, detector efficiency, spectral resolution, and background correction when comparing computational spectra with measurements.</w:t>
      </w:r>
    </w:p>
    <w:p>
      <w:pPr>
        <w:spacing w:after="120" w:before="0" w:line="276" w:lineRule="auto"/>
        <w:ind w:firstLine="360"/>
      </w:pPr>
      <w:r>
        <w:rPr>
          <w:rFonts w:ascii="Times New Roman" w:hAnsi="Times New Roman"/>
          <w:sz w:val="24"/>
        </w:rPr>
        <w:t>This point is especially relevant when comparing the current model with Burgos et al. [8] and Tsuchida and Kobayashi [37]. Burgos et al. used a photon-detection configuration optimized for weak visible emission, whereas Tsuchida and Kobayashi used a polychromatic spectroscopy system spanning approximately 450–750 nm. These instruments interrogate different portions of the underlying emission spectrum and therefore cannot be expected to produce directly interchangeable spectral metrics. Future validation should therefore use an experimentally measured system-response function and report both the reconstructed intrinsic spectrum and the detector-observed spectrum.</w:t>
      </w:r>
    </w:p>
    <w:p>
      <w:pPr>
        <w:spacing w:after="120" w:before="0" w:line="276" w:lineRule="auto"/>
        <w:ind w:firstLine="360"/>
      </w:pPr>
      <w:r>
        <w:rPr>
          <w:rFonts w:ascii="Times New Roman" w:hAnsi="Times New Roman"/>
          <w:sz w:val="24"/>
        </w:rPr>
        <w:t>The combined results motivate several falsifiable experiments. A high-priority design would measure spontaneous UPE, ROS-generating capacity, viable-cell number, lipid-peroxidation products, and wavelength-resolved emission in the same biological preparation, with and without controlled NADPH-oxidase inhibition. Time-resolved acquisition would test the predicted onset and delay structure, while calibrated spectroscopy would test whether longer-wavelength redistribution persists after detector correction. Failure of the predicted intervention direction, timing behavior, or cross-model spectral ordering would identify which level of the multiscale pathway requires revision rather than being absorbed into an unconstrained fitted parameter.</w:t>
      </w:r>
    </w:p>
    <w:p>
      <w:pPr>
        <w:pStyle w:val="Heading2"/>
        <w:spacing w:before="180" w:after="80"/>
      </w:pPr>
      <w:r>
        <w:t>5.9. Limitations and scope of inference</w:t>
      </w:r>
    </w:p>
    <w:p>
      <w:pPr>
        <w:spacing w:after="120" w:before="0" w:line="276" w:lineRule="auto"/>
        <w:ind w:firstLine="360"/>
      </w:pPr>
      <w:r>
        <w:rPr>
          <w:rFonts w:ascii="Times New Roman" w:hAnsi="Times New Roman"/>
          <w:sz w:val="24"/>
        </w:rPr>
        <w:t>Several limitations define the appropriate scope of inference. The clinical oxidative distributions were reconstructed from published summary statistics rather than individual-level paired ROS/UPE measurements [15]. The microscopic electronic-coupling and reorganization-energy values were imported from biomolecular electron-transfer studies [21–23] and should therefore be regarded as external priors rather than infection-specific constants. In vitro systems can also alter oxidative behavior through oxygen tension, medium composition, antioxidant availability, and handling conditions, concerns emphasized by Halliwell [10] and Jagannathan et al. [11]. These factors further caution against direct numerical transport of cell-culture transfer functions to clinical blood or tissue environments.</w:t>
      </w:r>
    </w:p>
    <w:p>
      <w:pPr>
        <w:spacing w:after="120" w:before="0" w:line="276" w:lineRule="auto"/>
        <w:ind w:firstLine="360"/>
      </w:pPr>
      <w:r>
        <w:rPr>
          <w:rFonts w:ascii="Times New Roman" w:hAnsi="Times New Roman"/>
          <w:sz w:val="24"/>
        </w:rPr>
        <w:t>The spectral analysis has analogous limitations. The Tsuchida basis spectra were measured under UVA-induced oxidation of skin-related biomolecules [37], not infection-associated samples, and the effective Franck–Condon carbonyl model is a structural representation rather than a unique molecular assignment. The singlet-oxygen channels rely on literature-derived photophysical measurements [30,36], and the detector-forward calculation is instrument specific [35]. Accordingly, the strong conclusion of the present study is not that COVID-19 and sepsis possess fixed UPE magnitudes or unique spectral signatures. Rather, the model identifies mechanistically plausible temporal, intensity, and spectral behaviors that can now be tested using paired, calibrated experiments.</w:t>
      </w:r>
    </w:p>
    <w:p>
      <w:pPr>
        <w:spacing w:after="120" w:before="0" w:line="276" w:lineRule="auto"/>
        <w:ind w:firstLine="360"/>
      </w:pPr>
      <w:r>
        <w:rPr>
          <w:rFonts w:ascii="Times New Roman" w:hAnsi="Times New Roman"/>
          <w:sz w:val="24"/>
        </w:rPr>
        <w:t>Within those boundaries, the framework provides a coherent synthesis of infection biology, oxidative chemistry, electron transfer, open-system excitation, spectral emission, and measurement physics. The literature comparisons show that each level of the pathway is individually grounded in prior experimental or theoretical work, while the present analysis demonstrates that the quantitative connections among levels remain incompletely constrained. That combination—mechanistic support with explicit structural uncertainty—is the principal basis for interpreting the model as a hypothesis-generating systems-biophysics framework rather than as a clinically validated diagnostic model.</w:t>
      </w:r>
    </w:p>
    <w:p>
      <w:pPr>
        <w:spacing w:before="240" w:after="0"/>
      </w:pPr>
      <w:r>
        <w:rPr>
          <w:rFonts w:ascii="Times New Roman" w:hAnsi="Times New Roman"/>
          <w:i/>
          <w:sz w:val="20"/>
        </w:rPr>
        <w:t>Citation note: bracketed reference numbers correspond to the current manuscript reference list; no new references are required for this revision.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