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Step 6. Spectral-Redistribution Terminology and Interpretation Consistency</w:t>
      </w:r>
    </w:p>
    <w:p>
      <w:r>
        <w:rPr>
          <w:b/>
        </w:rPr>
        <w:t xml:space="preserve">Purpose. </w:t>
      </w:r>
      <w:r>
        <w:t>This revision makes the manuscript consistent in distinguishing an ensemble spectral redistribution from a literal disease-induced shift in the intrinsic transition wavelength of an individual molecular emitter. The model changes relative channel amplitudes; it does not impose disease-dependent changes in molecular transition energies.</w:t>
      </w:r>
    </w:p>
    <w:p>
      <w:pPr>
        <w:pStyle w:val="Heading1"/>
      </w:pPr>
      <w:r>
        <w:t>Core interpretation rule to apply throughout the manuscript</w:t>
      </w:r>
    </w:p>
    <w:p>
      <w:r>
        <w:rPr>
          <w:b/>
        </w:rPr>
        <w:t xml:space="preserve">Preferred terminology: </w:t>
      </w:r>
      <w:r>
        <w:t>disease-associated spectral redistribution, ensemble spectral-centroid displacement, redistribution toward longer-wavelength contributions, or change in the relative weighting of emission channels.</w:t>
      </w:r>
    </w:p>
    <w:p>
      <w:r>
        <w:rPr>
          <w:b/>
        </w:rPr>
        <w:t xml:space="preserve">Avoid as a standalone claim: </w:t>
      </w:r>
      <w:r>
        <w:t>spectral shift, red shift, or wavelength shift, unless the wording explicitly states that the quantity is the centroid of the composite spectrum rather than the intrinsic transition wavelength of a molecular species.</w:t>
      </w:r>
    </w:p>
    <w:p>
      <w:pPr>
        <w:pStyle w:val="Heading1"/>
      </w:pPr>
      <w:r>
        <w:t>1. Abstract - revised spectral sentence</w:t>
      </w:r>
    </w:p>
    <w:p>
      <w:r>
        <w:t>Replace any sentence implying a molecular wavelength shift with:</w:t>
      </w:r>
    </w:p>
    <w:p>
      <w:pPr>
        <w:ind w:left="360"/>
      </w:pPr>
      <w:r>
        <w:t>Gaussian, log-normal, Voigt, experimentally constrained basis-spectrum, and effective Franck-Condon representations preserved the direction of the predicted disease-associated redistribution of the ensemble UPE spectrum, although the absolute centroid and red-to-blue metrics remained model dependent.</w:t>
      </w:r>
    </w:p>
    <w:p>
      <w:pPr>
        <w:pStyle w:val="Heading1"/>
      </w:pPr>
      <w:r>
        <w:t>2. Introduction - revise the spectral objective</w:t>
      </w:r>
    </w:p>
    <w:p>
      <w:r>
        <w:t>Recommended replacement for the paragraph introducing wavelength-dependent behavior:</w:t>
      </w:r>
    </w:p>
    <w:p>
      <w:pPr>
        <w:ind w:left="360"/>
      </w:pPr>
      <w:r>
        <w:t>In addition to predicting time-dependent emission intensity, the framework was extended to investigate wavelength-dependent redistribution of the composite UPE spectrum. Because biological UPE contains contributions from multiple oxidative emitters, including excited carbonyls and singlet-oxygen-related channels, infection-associated changes in oxidative chemistry may alter the relative amplitudes of these channels. The resulting change in spectral centroid or red-to-blue photon yield is therefore interpreted as an ensemble redistribution of emitter contributions rather than as a disease-induced change in the intrinsic transition wavelength of any individual molecular species.</w:t>
      </w:r>
    </w:p>
    <w:p>
      <w:pPr>
        <w:pStyle w:val="Heading1"/>
      </w:pPr>
      <w:r>
        <w:t>3. Section 2.14 - strengthen the theoretical interpretation</w:t>
      </w:r>
    </w:p>
    <w:p>
      <w:r>
        <w:t>Add the following sentence after the wavelength-resolved emission equations:</w:t>
      </w:r>
    </w:p>
    <w:p>
      <w:pPr>
        <w:ind w:left="360"/>
      </w:pPr>
      <w:r>
        <w:t>Disease-associated spectral changes arise through changes in the relative populations and amplitudes of different emitters. The intrinsic transition energies and line-shape parameters assigned to a given emitter are not shifted as a function of disease condition. Accordingly, any change in the composite spectral centroid is an ensemble property of the weighted spectrum and not evidence that the fundamental electronic transition energy of an individual molecule has changed.</w:t>
      </w:r>
    </w:p>
    <w:p>
      <w:pPr>
        <w:pStyle w:val="Heading1"/>
      </w:pPr>
      <w:r>
        <w:t>4. Methods - explicit operational definition</w:t>
      </w:r>
    </w:p>
    <w:p>
      <w:r>
        <w:t>Insert near the beginning of Section 3.12:</w:t>
      </w:r>
    </w:p>
    <w:p>
      <w:pPr>
        <w:ind w:left="360"/>
      </w:pPr>
      <w:r>
        <w:t>Throughout the spectral analysis, the term spectral redistribution denotes a change in the weighted ensemble spectrum produced by disease-dependent changes in channel amplitudes. No disease-dependent displacement of the intrinsic transition energy or central wavelength of an individual molecular emitter was imposed.</w:t>
      </w:r>
    </w:p>
    <w:p>
      <w:r>
        <w:rPr>
          <w:b/>
        </w:rPr>
        <w:t>For Section 3.12.2 and 3.12.3, retain the same rule:</w:t>
      </w:r>
    </w:p>
    <w:p>
      <w:pPr>
        <w:ind w:left="360"/>
      </w:pPr>
      <w:r>
        <w:t>• Voigt, Gaussian, and log-normal models use fixed channel centers across healthy, severe COVID-19, and sepsis conditions.</w:t>
      </w:r>
    </w:p>
    <w:p>
      <w:pPr>
        <w:ind w:left="360"/>
      </w:pPr>
      <w:r>
        <w:t>• The Tsuchida empirical basis spectra are fixed external molecular templates; only their model-derived amplitudes change with disease condition.</w:t>
      </w:r>
    </w:p>
    <w:p>
      <w:pPr>
        <w:ind w:left="360"/>
      </w:pPr>
      <w:r>
        <w:t>• The Franck-Condon carbonyl basis is likewise held fixed for a given parameter set; disease condition changes its weight within the composite spectrum rather than its molecular transition energy.</w:t>
      </w:r>
    </w:p>
    <w:p>
      <w:pPr>
        <w:pStyle w:val="Heading1"/>
      </w:pPr>
      <w:r>
        <w:t>5. Results Section 4.5 - preferred wording</w:t>
      </w:r>
    </w:p>
    <w:p>
      <w:r>
        <w:t>Use this interpretation after Tables 5-6 and Figures 7-8:</w:t>
      </w:r>
    </w:p>
    <w:p>
      <w:pPr>
        <w:ind w:left="360"/>
      </w:pPr>
      <w:r>
        <w:t>Across the analytic and experimentally constrained spectral structures, the model preserved a positive disease-associated displacement of the ensemble spectral centroid and an increase in the red-to-blue photon-yield ratio. These changes do not represent a shift in the intrinsic emission wavelength of a particular molecule. Instead, they arise because increasing modeled oxidative burden changes the relative contributions of the fixed emission channels to the composite UPE spectrum. The spectral result is therefore best described as a redistribution toward a larger relative contribution from longer-wavelength channels.</w:t>
      </w:r>
    </w:p>
    <w:p>
      <w:pPr>
        <w:pStyle w:val="Heading1"/>
      </w:pPr>
      <w:r>
        <w:t>6. Results Section 4.6 - Franck-Condon interpretation</w:t>
      </w:r>
    </w:p>
    <w:p>
      <w:r>
        <w:t>Add or retain the following sentence in the Franck-Condon section:</w:t>
      </w:r>
    </w:p>
    <w:p>
      <w:pPr>
        <w:ind w:left="360"/>
      </w:pPr>
      <w:r>
        <w:t>The Franck-Condon calculation addresses whether a vibronically structured carbonyl basis alters the composite spectral conclusion; it does not imply that infection shifts the vibronic transition energies of the carbonyl emitter. The preserved healthy &lt; severe COVID-19 &lt; sepsis centroid ordering results from changes in channel weighting within the multicomponent spectrum.</w:t>
      </w:r>
    </w:p>
    <w:p>
      <w:pPr>
        <w:pStyle w:val="Heading1"/>
      </w:pPr>
      <w:r>
        <w:t>7. Detector-forward spectral section - separate biological redistribution from instrumental distortion</w:t>
      </w:r>
    </w:p>
    <w:p>
      <w:r>
        <w:t>Recommended interpretation:</w:t>
      </w:r>
    </w:p>
    <w:p>
      <w:pPr>
        <w:ind w:left="360"/>
      </w:pPr>
      <w:r>
        <w:t>Detector weighting substantially compressed the observable centroid differences relative to the intrinsic biological spectra. This compression reflects the wavelength dependence of the measurement system and should not be interpreted as reversal or disappearance of the underlying biological redistribution. Intrinsic and detector-weighted centroid changes therefore represent different levels of the forward model: the former describes the modeled emitter mixture, whereas the latter describes the spectrum expected after instrumental filtering.</w:t>
      </w:r>
    </w:p>
    <w:p>
      <w:pPr>
        <w:pStyle w:val="Heading1"/>
      </w:pPr>
      <w:r>
        <w:t>8. Discussion - terminology to use consistently</w:t>
      </w:r>
    </w:p>
    <w:p>
      <w:r>
        <w:t>Recommended discussion paragraph:</w:t>
      </w:r>
    </w:p>
    <w:p>
      <w:pPr>
        <w:ind w:left="360"/>
      </w:pPr>
      <w:r>
        <w:t>The spectral results are most appropriately interpreted as changes in the composition of the emitted photon field rather than as molecular wavelength shifts. The analytic, empirical-basis, and Franck-Condon representations all preserve the direction of the disease-associated centroid displacement despite differences in absolute spectral metrics. Because the intrinsic transition energies of the component emitters were held fixed, the modeled centroid change emerges from altered relative contributions of oxidative-emission channels. This distinction is important experimentally: a measured redward displacement of the composite UPE centroid would support altered emitter weighting, but by itself would not establish a disease-induced change in the electronic transition energy of any specific molecule.</w:t>
      </w:r>
    </w:p>
    <w:p>
      <w:pPr>
        <w:pStyle w:val="Heading1"/>
      </w:pPr>
      <w:r>
        <w:t>9. Conclusion - revised spectral conclusion</w:t>
      </w:r>
    </w:p>
    <w:p>
      <w:r>
        <w:t>Use this wording in the final conclusion:</w:t>
      </w:r>
    </w:p>
    <w:p>
      <w:pPr>
        <w:ind w:left="360"/>
      </w:pPr>
      <w:r>
        <w:t>The wavelength-resolved analysis predicts a disease-associated redistribution of the composite UPE spectrum toward a larger relative contribution from longer-wavelength channels. This direction was preserved across analytic line shapes, experimentally constrained basis spectra, and an effective Franck-Condon vibronic representation, although the absolute spectral metrics remained model dependent and were strongly modified by detector response. The result should therefore be regarded as a testable prediction of altered oxidative-emitter composition rather than as evidence for disease-induced shifts in the intrinsic transition wavelengths of individual molecules.</w:t>
      </w:r>
    </w:p>
    <w:p>
      <w:pPr>
        <w:pStyle w:val="Heading1"/>
      </w:pPr>
      <w:r>
        <w:t>10. Manuscript-wide terminology guide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Use</w:t>
            </w:r>
          </w:p>
        </w:tc>
        <w:tc>
          <w:tcPr>
            <w:tcW w:type="dxa" w:w="3264"/>
            <w:vAlign w:val="center"/>
          </w:tcPr>
          <w:p>
            <w:r>
              <w:rPr>
                <w:b/>
              </w:rPr>
              <w:t>Avoid</w:t>
            </w:r>
          </w:p>
        </w:tc>
        <w:tc>
          <w:tcPr>
            <w:tcW w:type="dxa" w:w="3264"/>
            <w:vAlign w:val="center"/>
          </w:tcPr>
          <w:p>
            <w:r>
              <w:rPr>
                <w:b/>
              </w:rPr>
              <w:t>Reason</w:t>
            </w:r>
          </w:p>
        </w:tc>
      </w:tr>
      <w:tr>
        <w:tc>
          <w:tcPr>
            <w:tcW w:type="dxa" w:w="3264"/>
            <w:vAlign w:val="center"/>
          </w:tcPr>
          <w:p>
            <w:r>
              <w:rPr>
                <w:rFonts w:ascii="Times New Roman" w:hAnsi="Times New Roman"/>
                <w:sz w:val="20"/>
              </w:rPr>
              <w:t>spectral redistribution</w:t>
            </w:r>
          </w:p>
        </w:tc>
        <w:tc>
          <w:tcPr>
            <w:tcW w:type="dxa" w:w="3264"/>
            <w:vAlign w:val="center"/>
          </w:tcPr>
          <w:p>
            <w:r>
              <w:rPr>
                <w:rFonts w:ascii="Times New Roman" w:hAnsi="Times New Roman"/>
                <w:sz w:val="20"/>
              </w:rPr>
              <w:t>spectral shift (unqualified)</w:t>
            </w:r>
          </w:p>
        </w:tc>
        <w:tc>
          <w:tcPr>
            <w:tcW w:type="dxa" w:w="3264"/>
            <w:vAlign w:val="center"/>
          </w:tcPr>
          <w:p>
            <w:r>
              <w:rPr>
                <w:rFonts w:ascii="Times New Roman" w:hAnsi="Times New Roman"/>
                <w:sz w:val="20"/>
              </w:rPr>
              <w:t>The model changes channel amplitudes, not intrinsic molecular transition energies.</w:t>
            </w:r>
          </w:p>
        </w:tc>
      </w:tr>
      <w:tr>
        <w:tc>
          <w:tcPr>
            <w:tcW w:type="dxa" w:w="3264"/>
            <w:vAlign w:val="center"/>
          </w:tcPr>
          <w:p>
            <w:r>
              <w:rPr>
                <w:rFonts w:ascii="Times New Roman" w:hAnsi="Times New Roman"/>
                <w:sz w:val="20"/>
              </w:rPr>
              <w:t>ensemble centroid displacement</w:t>
            </w:r>
          </w:p>
        </w:tc>
        <w:tc>
          <w:tcPr>
            <w:tcW w:type="dxa" w:w="3264"/>
            <w:vAlign w:val="center"/>
          </w:tcPr>
          <w:p>
            <w:r>
              <w:rPr>
                <w:rFonts w:ascii="Times New Roman" w:hAnsi="Times New Roman"/>
                <w:sz w:val="20"/>
              </w:rPr>
              <w:t>molecular wavelength shift</w:t>
            </w:r>
          </w:p>
        </w:tc>
        <w:tc>
          <w:tcPr>
            <w:tcW w:type="dxa" w:w="3264"/>
            <w:vAlign w:val="center"/>
          </w:tcPr>
          <w:p>
            <w:r>
              <w:rPr>
                <w:rFonts w:ascii="Times New Roman" w:hAnsi="Times New Roman"/>
                <w:sz w:val="20"/>
              </w:rPr>
              <w:t>The centroid is a property of the composite weighted spectrum.</w:t>
            </w:r>
          </w:p>
        </w:tc>
      </w:tr>
      <w:tr>
        <w:tc>
          <w:tcPr>
            <w:tcW w:type="dxa" w:w="3264"/>
            <w:vAlign w:val="center"/>
          </w:tcPr>
          <w:p>
            <w:r>
              <w:rPr>
                <w:rFonts w:ascii="Times New Roman" w:hAnsi="Times New Roman"/>
                <w:sz w:val="20"/>
              </w:rPr>
              <w:t>larger relative contribution from longer-wavelength channels</w:t>
            </w:r>
          </w:p>
        </w:tc>
        <w:tc>
          <w:tcPr>
            <w:tcW w:type="dxa" w:w="3264"/>
            <w:vAlign w:val="center"/>
          </w:tcPr>
          <w:p>
            <w:r>
              <w:rPr>
                <w:rFonts w:ascii="Times New Roman" w:hAnsi="Times New Roman"/>
                <w:sz w:val="20"/>
              </w:rPr>
              <w:t>red shift (unqualified)</w:t>
            </w:r>
          </w:p>
        </w:tc>
        <w:tc>
          <w:tcPr>
            <w:tcW w:type="dxa" w:w="3264"/>
            <w:vAlign w:val="center"/>
          </w:tcPr>
          <w:p>
            <w:r>
              <w:rPr>
                <w:rFonts w:ascii="Times New Roman" w:hAnsi="Times New Roman"/>
                <w:sz w:val="20"/>
              </w:rPr>
              <w:t>Avoids implying a single emitter has changed transition energy.</w:t>
            </w:r>
          </w:p>
        </w:tc>
      </w:tr>
      <w:tr>
        <w:tc>
          <w:tcPr>
            <w:tcW w:type="dxa" w:w="3264"/>
            <w:vAlign w:val="center"/>
          </w:tcPr>
          <w:p>
            <w:r>
              <w:rPr>
                <w:rFonts w:ascii="Times New Roman" w:hAnsi="Times New Roman"/>
                <w:sz w:val="20"/>
              </w:rPr>
              <w:t>fixed intrinsic channel centers</w:t>
            </w:r>
          </w:p>
        </w:tc>
        <w:tc>
          <w:tcPr>
            <w:tcW w:type="dxa" w:w="3264"/>
            <w:vAlign w:val="center"/>
          </w:tcPr>
          <w:p>
            <w:r>
              <w:rPr>
                <w:rFonts w:ascii="Times New Roman" w:hAnsi="Times New Roman"/>
                <w:sz w:val="20"/>
              </w:rPr>
              <w:t>disease-shifted channel centers</w:t>
            </w:r>
          </w:p>
        </w:tc>
        <w:tc>
          <w:tcPr>
            <w:tcW w:type="dxa" w:w="3264"/>
            <w:vAlign w:val="center"/>
          </w:tcPr>
          <w:p>
            <w:r>
              <w:rPr>
                <w:rFonts w:ascii="Times New Roman" w:hAnsi="Times New Roman"/>
                <w:sz w:val="20"/>
              </w:rPr>
              <w:t>Channel centers are held constant within each structural model.</w:t>
            </w:r>
          </w:p>
        </w:tc>
      </w:tr>
      <w:tr>
        <w:tc>
          <w:tcPr>
            <w:tcW w:type="dxa" w:w="3264"/>
            <w:vAlign w:val="center"/>
          </w:tcPr>
          <w:p>
            <w:r>
              <w:rPr>
                <w:rFonts w:ascii="Times New Roman" w:hAnsi="Times New Roman"/>
                <w:sz w:val="20"/>
              </w:rPr>
              <w:t>detector-weighted centroid change</w:t>
            </w:r>
          </w:p>
        </w:tc>
        <w:tc>
          <w:tcPr>
            <w:tcW w:type="dxa" w:w="3264"/>
            <w:vAlign w:val="center"/>
          </w:tcPr>
          <w:p>
            <w:r>
              <w:rPr>
                <w:rFonts w:ascii="Times New Roman" w:hAnsi="Times New Roman"/>
                <w:sz w:val="20"/>
              </w:rPr>
              <w:t>measured biological shift</w:t>
            </w:r>
          </w:p>
        </w:tc>
        <w:tc>
          <w:tcPr>
            <w:tcW w:type="dxa" w:w="3264"/>
            <w:vAlign w:val="center"/>
          </w:tcPr>
          <w:p>
            <w:r>
              <w:rPr>
                <w:rFonts w:ascii="Times New Roman" w:hAnsi="Times New Roman"/>
                <w:sz w:val="20"/>
              </w:rPr>
              <w:t>Detector response can distort or compress the intrinsic spectrum.</w:t>
            </w:r>
          </w:p>
        </w:tc>
      </w:tr>
    </w:tbl>
    <w:p>
      <w:r>
        <w:rPr>
          <w:b/>
        </w:rPr>
        <w:t xml:space="preserve">Final consistency check. </w:t>
      </w:r>
      <w:r>
        <w:t>Search the manuscript for the phrases “spectral shift,” “red shift,” “wavelength shift,” and “transition wavelength.” Where these appear, retain them only if the surrounding sentence explicitly distinguishes composite-spectrum centroid movement from a change in an individual molecular transition.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