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微软雅黑" w:hAnsi="微软雅黑" w:eastAsia="微软雅黑"/>
          <w:b/>
          <w:sz w:val="34"/>
        </w:rPr>
        <w:t>数字视音频编解码技术标准化工作组</w:t>
      </w:r>
    </w:p>
    <w:p>
      <w:pPr>
        <w:jc w:val="center"/>
      </w:pPr>
      <w:r>
        <w:rPr>
          <w:sz w:val="22"/>
        </w:rPr>
        <w:t>AVS 工作文档 · 2026年8月13日</w:t>
      </w:r>
    </w:p>
    <w:p/>
    <w:p>
      <w:pPr>
        <w:spacing w:before="1100"/>
        <w:jc w:val="center"/>
      </w:pPr>
      <w:r>
        <w:rPr>
          <w:rFonts w:ascii="微软雅黑" w:hAnsi="微软雅黑" w:eastAsia="微软雅黑"/>
          <w:b/>
          <w:color w:val="1F4E78"/>
          <w:sz w:val="60"/>
        </w:rPr>
        <w:t>三维数字人智能编码标准</w:t>
      </w:r>
    </w:p>
    <w:p>
      <w:pPr>
        <w:jc w:val="center"/>
      </w:pPr>
      <w:r>
        <w:rPr>
          <w:b/>
          <w:sz w:val="44"/>
        </w:rPr>
        <w:t>WD1.0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4"/>
        <w:gridCol w:w="4564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来源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AVS VRU 组 / HGC-Avatar 项目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标题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三维数字人智能编码标准 WD1.0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工作草案（供技术讨论与实验验证）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范围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可流式动态三维数字人的分层表示、封装、解码与渲染</w:t>
            </w:r>
          </w:p>
        </w:tc>
      </w:tr>
    </w:tbl>
    <w:p/>
    <w:p>
      <w:pPr>
        <w:jc w:val="center"/>
      </w:pPr>
      <w:r>
        <w:rPr>
          <w:i/>
        </w:rPr>
        <w:t>说明：本文件仿照《三维体视频智能编码标准》WD4.0 的体例编写，是 WD1.0 技术草案，不表示已发布的正式国家、行业或团体标准。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spacing w:line="324" w:lineRule="auto"/>
        <w:ind w:firstLine="420"/>
      </w:pPr>
      <w:r>
        <w:t>提示：在 Microsoft Word 或 LibreOffice 中选择“更新目录”，即可刷新页码。</w:t>
      </w:r>
    </w:p>
    <w:p>
      <w:r>
        <w:br w:type="page"/>
      </w:r>
    </w:p>
    <w:p>
      <w:pPr>
        <w:pStyle w:val="Heading1"/>
        <w:keepNext/>
      </w:pPr>
      <w:r>
        <w:t>前言</w:t>
      </w:r>
    </w:p>
    <w:p>
      <w:pPr>
        <w:spacing w:line="324" w:lineRule="auto"/>
        <w:ind w:firstLine="420"/>
      </w:pPr>
      <w:r>
        <w:t>本文件规定一种面向动态三维数字人的智能编码框架。框架以参数化人体模型、可学习外观网络和时变姿态特征图为分层表示，在编码端完成数字人重建及中间表示导出，在传输层分别形成运动参数子流、网络参数子流和姿态特征图子流，在解码端恢复各层并驱动三维高斯表示完成自由视点渲染。</w:t>
      </w:r>
    </w:p>
    <w:p>
      <w:pPr>
        <w:spacing w:line="324" w:lineRule="auto"/>
        <w:ind w:firstLine="420"/>
      </w:pPr>
      <w:r>
        <w:t>本文件按照 AVS 工作文档常用的语法、语义、解析、解码和渲染结构编写。除明确标注为资料性的条款外，使用“应”“不应”的条款为规范性要求，使用“宜”“可”的条款为建议或允许事项。</w:t>
      </w:r>
    </w:p>
    <w:p>
      <w:pPr>
        <w:spacing w:line="324" w:lineRule="auto"/>
        <w:ind w:firstLine="420"/>
      </w:pPr>
      <w:r>
        <w:t>WD1.0 聚焦 HGC-Avatar 所采用的分层压缩逻辑，保持三类内容可独立编解码，同时定义统一序列层和访问单元层，使实现可以通过一个流水线自动完成压缩，不要求使用者手工依次调用三个编码器。</w:t>
      </w:r>
    </w:p>
    <w:p>
      <w:pPr>
        <w:pStyle w:val="Heading1"/>
        <w:keepNext/>
      </w:pPr>
      <w:r>
        <w:t>引言</w:t>
      </w:r>
    </w:p>
    <w:p>
      <w:pPr>
        <w:spacing w:line="324" w:lineRule="auto"/>
        <w:ind w:firstLine="420"/>
      </w:pPr>
      <w:r>
        <w:t>动态三维数字人通常包含随时间变化的人体姿态、高维外观网络以及由姿态驱动的空间特征。若直接逐帧传输完整几何或网络状态，码率和初始化时延较高。本文件利用不同内容的时间相关性和更新频率进行分层：运动层支持逐帧低时延更新；Posemap 层利用视频编码器去除时空冗余；网络层采用标量量化和概率模型编码，通常只在初始化或模型更新时发送。</w:t>
      </w:r>
    </w:p>
    <w:p>
      <w:pPr>
        <w:spacing w:line="324" w:lineRule="auto"/>
        <w:ind w:firstLine="420"/>
      </w:pPr>
      <w:r>
        <w:t>三层在语义上独立、在解码依赖上有序：网络层提供外观生成函数，运动层提供骨骼驱动参数，Posemap 层提供时变姿态条件。实现可缓存不变层并仅更新必要子流，从而适应直播、点播、交互通信及边云协同渲染。</w:t>
      </w:r>
    </w:p>
    <w:p>
      <w:r>
        <w:br w:type="page"/>
      </w:r>
    </w:p>
    <w:p>
      <w:pPr>
        <w:pStyle w:val="Heading1"/>
        <w:keepNext/>
      </w:pPr>
      <w:r>
        <w:t>1 范围</w:t>
      </w:r>
    </w:p>
    <w:p>
      <w:pPr>
        <w:spacing w:line="324" w:lineRule="auto"/>
        <w:ind w:firstLine="420"/>
      </w:pPr>
      <w:r>
        <w:t>本文件规定动态三维数字人智能编码的总体框架、比特流语法、语义、解析过程、各子流解码过程、数字人重建和渲染过程，以及档次、级别、一致性和错误处理要求。</w:t>
      </w:r>
    </w:p>
    <w:p>
      <w:pPr>
        <w:spacing w:line="324" w:lineRule="auto"/>
        <w:ind w:firstLine="420"/>
      </w:pPr>
      <w:r>
        <w:t>本文件适用于以参数化人体模型和神经网络/三维高斯为核心表示的可动画数字人，包括离线点播、实时通信、自由视点视频、扩展现实和数字内容制作。具体训练方法、采集设备、相机标定方法和显示终端不属于规范性范围。</w:t>
      </w:r>
    </w:p>
    <w:p>
      <w:pPr>
        <w:pStyle w:val="Heading1"/>
        <w:keepNext/>
      </w:pPr>
      <w:r>
        <w:t>2 规范性引用文件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文件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ISO/IEC 14496-10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Advanced video coding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视频子流参考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ISO/IEC 23090-5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Visual volumetric video-based coding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体积视频术语参考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IEEE 754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Floating-point arithmetic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数值表示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SMPL-X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Expressive Body Capture: 3D Hands, Face, and Body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人体参数模型参考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3D Gaussian Splatting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Real-time Radiance Field Rendering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渲染表示参考</w:t>
            </w:r>
          </w:p>
        </w:tc>
      </w:tr>
    </w:tbl>
    <w:p/>
    <w:p>
      <w:pPr>
        <w:spacing w:line="324" w:lineRule="auto"/>
        <w:ind w:firstLine="420"/>
      </w:pPr>
      <w:r>
        <w:t>凡是注日期的引用文件，仅该日期对应的版本适用；不注日期的引用文件，其最新版本（包括所有修改单）适用。实现采用其他视频编码器时，应通过本文件定义的 codec_identifier 和外部配置参数明确标识。</w:t>
      </w:r>
    </w:p>
    <w:p>
      <w:r>
        <w:br w:type="page"/>
      </w:r>
    </w:p>
    <w:p>
      <w:pPr>
        <w:pStyle w:val="Heading1"/>
        <w:keepNext/>
      </w:pPr>
      <w:r>
        <w:t>3 术语和定义</w:t>
      </w:r>
    </w:p>
    <w:p>
      <w:pPr>
        <w:spacing w:after="80"/>
      </w:pPr>
      <w:r>
        <w:rPr>
          <w:b/>
        </w:rPr>
        <w:t>三维数字人（3D digital human）：</w:t>
      </w:r>
      <w:r>
        <w:t>具有可驱动人体结构、时变姿态和可渲染外观的三维人物表示。</w:t>
      </w:r>
    </w:p>
    <w:p>
      <w:pPr>
        <w:spacing w:after="80"/>
      </w:pPr>
      <w:r>
        <w:rPr>
          <w:b/>
        </w:rPr>
        <w:t>访问单元（access unit）：</w:t>
      </w:r>
      <w:r>
        <w:t>对应一个输出时刻、包含该时刻解码所需一个或多个数据单元的集合。</w:t>
      </w:r>
    </w:p>
    <w:p>
      <w:pPr>
        <w:spacing w:after="80"/>
      </w:pPr>
      <w:r>
        <w:rPr>
          <w:b/>
        </w:rPr>
        <w:t>运动参数（motion parameters）：</w:t>
      </w:r>
      <w:r>
        <w:t>描述根节点平移、全局旋转、身体/手部/面部关节姿态及形状的参数集合。</w:t>
      </w:r>
    </w:p>
    <w:p>
      <w:pPr>
        <w:spacing w:after="80"/>
      </w:pPr>
      <w:r>
        <w:rPr>
          <w:b/>
        </w:rPr>
        <w:t>Posemap：</w:t>
      </w:r>
      <w:r>
        <w:t>由姿态或蒙皮变换生成、以规则二维阵列承载的时变条件特征。</w:t>
      </w:r>
    </w:p>
    <w:p>
      <w:pPr>
        <w:spacing w:after="80"/>
      </w:pPr>
      <w:r>
        <w:rPr>
          <w:b/>
        </w:rPr>
        <w:t>网络参数层（network parameter layer）：</w:t>
      </w:r>
      <w:r>
        <w:t>用于恢复外观生成网络权重、偏置和必要状态的编码层。</w:t>
      </w:r>
    </w:p>
    <w:p>
      <w:pPr>
        <w:spacing w:after="80"/>
      </w:pPr>
      <w:r>
        <w:rPr>
          <w:b/>
        </w:rPr>
        <w:t>基础层（base layer）：</w:t>
      </w:r>
      <w:r>
        <w:t>形成最低可解码数字人所必需的结构及运动信息层。</w:t>
      </w:r>
    </w:p>
    <w:p>
      <w:pPr>
        <w:spacing w:after="80"/>
      </w:pPr>
      <w:r>
        <w:rPr>
          <w:b/>
        </w:rPr>
        <w:t>增强层（enhancement layer）：</w:t>
      </w:r>
      <w:r>
        <w:t>改善外观、局部细节或渲染质量但可按能力选择解码的层。</w:t>
      </w:r>
    </w:p>
    <w:p>
      <w:pPr>
        <w:spacing w:after="80"/>
      </w:pPr>
      <w:r>
        <w:rPr>
          <w:b/>
        </w:rPr>
        <w:t>随机访问点（random access point）：</w:t>
      </w:r>
      <w:r>
        <w:t>无需引用该点之前访问单元即可开始正确解码的位置。</w:t>
      </w:r>
    </w:p>
    <w:p>
      <w:pPr>
        <w:spacing w:after="80"/>
      </w:pPr>
      <w:r>
        <w:rPr>
          <w:b/>
        </w:rPr>
        <w:t>参考重建（reference reconstruction）：</w:t>
      </w:r>
      <w:r>
        <w:t>同一训练检查点在未压缩中间表示条件下产生的编码端输出。</w:t>
      </w:r>
    </w:p>
    <w:p>
      <w:pPr>
        <w:pStyle w:val="Heading1"/>
        <w:keepNext/>
      </w:pPr>
      <w:r>
        <w:t>4 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c>
          <w:tcPr>
            <w:tcW w:type="dxa" w:w="136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缩略语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英文</w:t>
            </w:r>
          </w:p>
        </w:tc>
        <w:tc>
          <w:tcPr>
            <w:tcW w:type="dxa" w:w="311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中文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Access Unit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访问单元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CRC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Cyclic Redundancy Check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循环冗余校验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DCVC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Deep Contextual Video Compression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深度上下文视频压缩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GOP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Group of Pictures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图像组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PSNR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Peak Signal-to-Noise Ratio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峰值信噪比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SSIM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Structural Similarity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结构相似性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SMPL-X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Skinned Multi-Person Linear Model eXpressive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可表达参数化人体模型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WD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Working Draft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工作草案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5 约定、函数和描述符</w:t>
      </w:r>
    </w:p>
    <w:p>
      <w:pPr>
        <w:pStyle w:val="Heading2"/>
        <w:keepNext/>
      </w:pPr>
      <w:r>
        <w:t>5.1 语法描述约定</w:t>
      </w:r>
    </w:p>
    <w:p>
      <w:pPr>
        <w:spacing w:line="324" w:lineRule="auto"/>
        <w:ind w:firstLine="420"/>
      </w:pPr>
      <w:r>
        <w:t>语法表从左至右给出语法元素名称、条件和描述符。花括号表示语法结构体，方括号表示数组索引。除特别规定外，多字节整数按大端序写入。保留位应写为 0，解码器应忽略其值。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4"/>
        <w:gridCol w:w="4564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描述符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u(n)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 位无符号整数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i(n)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 位有符号二进制补码整数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f(n)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 位固定模式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b(8)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按字节对齐的数据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ue(v)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无符号指数哥伦布码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se(v)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有符号指数哥伦布码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leb128(v)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无符号变长整数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bytes(n)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 个字节的不透明载荷</w:t>
            </w:r>
          </w:p>
        </w:tc>
      </w:tr>
    </w:tbl>
    <w:p/>
    <w:p>
      <w:pPr>
        <w:pStyle w:val="Heading2"/>
        <w:keepNext/>
      </w:pPr>
      <w:r>
        <w:t>5.2 数学函数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4"/>
        <w:gridCol w:w="4564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函数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定义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Clip3(a,b,x)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min(max(x,a),b)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Round(x)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取最接近整数，二分之一远离零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Log2Ceil(x)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不小于 log2(x) 的最小整数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CRC32(data)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按声明多项式计算 32 位校验值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Q(x,Δ)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Round(x/Δ)，其中 Δ 为量化步长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DQ(k,Δ)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k×Δ</w:t>
            </w:r>
          </w:p>
        </w:tc>
      </w:tr>
    </w:tbl>
    <w:p/>
    <w:p>
      <w:pPr>
        <w:pStyle w:val="Heading2"/>
        <w:keepNext/>
      </w:pPr>
      <w:r>
        <w:t>5.3 字节对齐</w:t>
      </w:r>
    </w:p>
    <w:p>
      <w:pPr>
        <w:spacing w:line="324" w:lineRule="auto"/>
        <w:ind w:firstLine="420"/>
      </w:pPr>
      <w:r>
        <w:t>每个数据单元头在字节边界开始。payload_size 按字节计数且不包含起始码和单元头。需要加密或外部传输封装时，加密边界应与数据单元边界一致，以保留随机访问和选择性解码能力。</w:t>
      </w:r>
    </w:p>
    <w:p>
      <w:r>
        <w:br w:type="page"/>
      </w:r>
    </w:p>
    <w:p>
      <w:pPr>
        <w:pStyle w:val="Heading1"/>
        <w:keepNext/>
      </w:pPr>
      <w:r>
        <w:t>6 总体架构和解码依赖</w:t>
      </w:r>
    </w:p>
    <w:p>
      <w:r>
        <w:drawing>
          <wp:inline xmlns:a="http://schemas.openxmlformats.org/drawingml/2006/main" xmlns:pic="http://schemas.openxmlformats.org/drawingml/2006/picture">
            <wp:extent cx="5832000" cy="2095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al_human_coding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9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— 三维数字人分层智能编码总体架构</w:t>
      </w:r>
    </w:p>
    <w:p>
      <w:pPr>
        <w:spacing w:line="324" w:lineRule="auto"/>
        <w:ind w:firstLine="420"/>
      </w:pPr>
      <w:r>
        <w:t>编码端首先运行一次完整重建/测试流程，同时导出逐帧运动参数、网络检查点和 Posemap 帧及归一化范围。压缩模块分别处理三类中间表示并复用到统一序列。解码端恢复中间表示后，再运行同构测试/渲染流程，模拟远端数字人重建。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6"/>
        <w:gridCol w:w="1826"/>
        <w:gridCol w:w="1826"/>
        <w:gridCol w:w="1826"/>
        <w:gridCol w:w="1826"/>
      </w:tblGrid>
      <w:tr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层</w:t>
            </w:r>
          </w:p>
        </w:tc>
        <w:tc>
          <w:tcPr>
            <w:tcW w:type="dxa" w:w="136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时间特性</w:t>
            </w:r>
          </w:p>
        </w:tc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典型编码</w:t>
            </w:r>
          </w:p>
        </w:tc>
        <w:tc>
          <w:tcPr>
            <w:tcW w:type="dxa" w:w="175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解码依赖</w:t>
            </w:r>
          </w:p>
        </w:tc>
        <w:tc>
          <w:tcPr>
            <w:tcW w:type="dxa" w:w="175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建议更新频率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结构/运动层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逐帧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预测 + Huffman/无损熵编码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人体模型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 AU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网络参数层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低频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标量量化 + Range coder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网络结构标识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序列开始或模型更新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Posemap 层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逐帧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帧归一化 + 视频编码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范围旁信息、参考帧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 AU/GOP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渲染元数据层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低频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定长/变长语法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坐标系、相机约定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按需</w:t>
            </w:r>
          </w:p>
        </w:tc>
      </w:tr>
    </w:tbl>
    <w:p/>
    <w:p>
      <w:pPr>
        <w:pStyle w:val="Heading2"/>
        <w:keepNext/>
      </w:pPr>
      <w:r>
        <w:t>6.1 一次流水线操作</w:t>
      </w:r>
    </w:p>
    <w:p>
      <w:pPr>
        <w:spacing w:before="80" w:after="120"/>
        <w:ind w:left="454" w:right="454"/>
        <w:shd w:fill="F2F2F2"/>
      </w:pPr>
      <w:r>
        <w:rPr>
          <w:rFonts w:ascii="Consolas" w:hAnsi="Consolas" w:eastAsia="等线"/>
          <w:sz w:val="16"/>
        </w:rPr>
        <w:t>encoder reconstruction</w:t>
        <w:br/>
        <w:t xml:space="preserve">  -&gt; export {motion, network, posemap, range}</w:t>
        <w:br/>
        <w:t xml:space="preserve">  -&gt; encode each logical substream</w:t>
        <w:br/>
        <w:t xml:space="preserve">  -&gt; multiplex and transmit</w:t>
        <w:br/>
        <w:t xml:space="preserve">  -&gt; decode {motion, network, posemap}</w:t>
        <w:br/>
        <w:t xml:space="preserve">  -&gt; decoder reconstruction and rendering</w:t>
        <w:br/>
        <w:t xml:space="preserve">  -&gt; conformance / fidelity verification</w:t>
      </w:r>
    </w:p>
    <w:p>
      <w:pPr>
        <w:spacing w:line="324" w:lineRule="auto"/>
        <w:ind w:firstLine="420"/>
      </w:pPr>
      <w:r>
        <w:t>三个逻辑 codec 不意味着部署或使用时必须手工执行三个命令。符合性实现应提供统一入口，自动安排导出、压缩、解压、依赖检查和解码端重建；独立 codec 接口仅用于调试、替换算法和研究消融。</w:t>
      </w:r>
    </w:p>
    <w:p>
      <w:r>
        <w:br w:type="page"/>
      </w:r>
    </w:p>
    <w:p>
      <w:pPr>
        <w:pStyle w:val="Heading1"/>
        <w:keepNext/>
      </w:pPr>
      <w:r>
        <w:t>7 比特流结构</w:t>
      </w:r>
    </w:p>
    <w:p>
      <w:pPr>
        <w:pStyle w:val="Heading2"/>
        <w:keepNext/>
      </w:pPr>
      <w:r>
        <w:t>7.1 数据单元类型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unit_type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起始码后缀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DH_SEQUENCE_HEADER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0xB0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序列级能力、坐标和时间信息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DH_ACCESS_UNIT_HEADER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0xB1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帧序号、时间戳和随机访问标志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DH_STRUCTURE_UNIT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0xB2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人体拓扑、参数布局和绑定关系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DH_MOTION_UNIT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0xB3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逐帧人体姿态参数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DH_NETWORK_UNIT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0xB4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量化后的网络参数与概率模型信息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DH_POSEMAP_UNIT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0xB5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Posemap 视频载荷和范围旁信息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DH_METADATA_UNIT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0xB6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相机、质量、用户数据及扩展元数据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DH_SEQUENCE_END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0xB7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序列结束</w:t>
            </w:r>
          </w:p>
        </w:tc>
      </w:tr>
    </w:tbl>
    <w:p/>
    <w:p>
      <w:pPr>
        <w:pStyle w:val="Heading2"/>
        <w:keepNext/>
      </w:pPr>
      <w:r>
        <w:t>7.2 公共单元头</w:t>
      </w:r>
    </w:p>
    <w:p>
      <w:pPr>
        <w:spacing w:before="80" w:after="120"/>
        <w:ind w:left="454" w:right="454"/>
        <w:shd w:fill="F2F2F2"/>
      </w:pPr>
      <w:r>
        <w:rPr>
          <w:rFonts w:ascii="Consolas" w:hAnsi="Consolas" w:eastAsia="等线"/>
          <w:sz w:val="16"/>
        </w:rPr>
        <w:t>digital_human_unit() {</w:t>
        <w:br/>
        <w:t xml:space="preserve">  unit_start_code                 f(24)  // 0x000001</w:t>
        <w:br/>
        <w:t xml:space="preserve">  unit_type                       u(8)</w:t>
        <w:br/>
        <w:t xml:space="preserve">  unit_flags                      u(8)</w:t>
        <w:br/>
        <w:t xml:space="preserve">  layer_id                        u(6)</w:t>
        <w:br/>
        <w:t xml:space="preserve">  temporal_id                     u(2)</w:t>
        <w:br/>
        <w:t xml:space="preserve">  payload_size                    u(32)</w:t>
        <w:br/>
        <w:t xml:space="preserve">  payload_crc_present_flag        u(1)</w:t>
        <w:br/>
        <w:t xml:space="preserve">  reserved_zero_7bits             u(7)</w:t>
        <w:br/>
        <w:t xml:space="preserve">  payload                         bytes(payload_size)</w:t>
        <w:br/>
        <w:t xml:space="preserve">  if (payload_crc_present_flag) payload_crc32 u(32)</w:t>
        <w:br/>
        <w:t>}</w:t>
      </w:r>
    </w:p>
    <w:p>
      <w:pPr>
        <w:spacing w:line="324" w:lineRule="auto"/>
        <w:ind w:firstLine="420"/>
      </w:pPr>
      <w:r>
        <w:t>公共头允许接收端在不了解载荷内部语法时跳过未知单元。layer_id 为 0 表示基础层；更高 layer_id 表示增强层。网络单元和结构单元应出现在引用它们的运动/Posemap 单元之前，或由缓冲模型保证在呈现时刻前可用。</w:t>
      </w:r>
    </w:p>
    <w:p>
      <w:r>
        <w:br w:type="page"/>
      </w:r>
    </w:p>
    <w:p>
      <w:pPr>
        <w:pStyle w:val="Heading1"/>
        <w:keepNext/>
      </w:pPr>
      <w:r>
        <w:t>8 序列头及结构层语法与语义</w:t>
      </w:r>
    </w:p>
    <w:p>
      <w:pPr>
        <w:pStyle w:val="Heading2"/>
        <w:keepNext/>
      </w:pPr>
      <w:r>
        <w:t>8.1 序列头</w:t>
      </w:r>
    </w:p>
    <w:p>
      <w:pPr>
        <w:spacing w:before="80" w:after="120"/>
        <w:ind w:left="454" w:right="454"/>
        <w:shd w:fill="F2F2F2"/>
      </w:pPr>
      <w:r>
        <w:rPr>
          <w:rFonts w:ascii="Consolas" w:hAnsi="Consolas" w:eastAsia="等线"/>
          <w:sz w:val="16"/>
        </w:rPr>
        <w:t>dh_sequence_header() {</w:t>
        <w:br/>
        <w:t xml:space="preserve">  dh_standard_version             u(8)</w:t>
        <w:br/>
        <w:t xml:space="preserve">  profile_idc                     u(8)</w:t>
        <w:br/>
        <w:t xml:space="preserve">  level_idc                       u(8)</w:t>
        <w:br/>
        <w:t xml:space="preserve">  progressive_sequence_flag       u(1)</w:t>
        <w:br/>
        <w:t xml:space="preserve">  low_latency_flag                u(1)</w:t>
        <w:br/>
        <w:t xml:space="preserve">  coordinate_system_idc           u(3)</w:t>
        <w:br/>
        <w:t xml:space="preserve">  length_unit_idc                 u(2)</w:t>
        <w:br/>
        <w:t xml:space="preserve">  reserved_zero_bit               u(1)</w:t>
        <w:br/>
        <w:t xml:space="preserve">  time_scale                      u(32)</w:t>
        <w:br/>
        <w:t xml:space="preserve">  num_units_in_tick               u(32)</w:t>
        <w:br/>
        <w:t xml:space="preserve">  frame_count_present_flag        u(1)</w:t>
        <w:br/>
        <w:t xml:space="preserve">  if (frame_count_present_flag) frame_count u(32)</w:t>
        <w:br/>
        <w:t xml:space="preserve">  human_id                        u(32)</w:t>
        <w:br/>
        <w:t xml:space="preserve">  model_schema_hash               bytes(32)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4"/>
        <w:gridCol w:w="4564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语法元素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语义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dh_standard_version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WD1.0 实验比特流应写 1；正式版本由标准机构分配。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profile_idc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指示必需工具集合，取值见附录 A。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coordinate_system_idc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 右手 Y 向上；1 右手 Z 向上；其他值保留。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length_unit_idc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 米；1 厘米；2 毫米。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model_schema_hash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网络结构、参数名称、形状和顺序规范化描述的 SHA-256。</w:t>
            </w:r>
          </w:p>
        </w:tc>
      </w:tr>
    </w:tbl>
    <w:p/>
    <w:p>
      <w:pPr>
        <w:pStyle w:val="Heading2"/>
        <w:keepNext/>
      </w:pPr>
      <w:r>
        <w:t>8.2 结构单元</w:t>
      </w:r>
    </w:p>
    <w:p>
      <w:pPr>
        <w:spacing w:line="324" w:lineRule="auto"/>
        <w:ind w:firstLine="420"/>
      </w:pPr>
      <w:r>
        <w:t>结构单元应声明人体模型类型、参数名称与维度、骨骼数量、关节父子关系、模板顶点/高斯基元数量以及网络结构标识。解码器不支持声明的结构时，应拒绝对应层，但可继续解析其他可独立层。</w:t>
      </w:r>
    </w:p>
    <w:p>
      <w:pPr>
        <w:spacing w:before="80" w:after="120"/>
        <w:ind w:left="454" w:right="454"/>
        <w:shd w:fill="F2F2F2"/>
      </w:pPr>
      <w:r>
        <w:rPr>
          <w:rFonts w:ascii="Consolas" w:hAnsi="Consolas" w:eastAsia="等线"/>
          <w:sz w:val="16"/>
        </w:rPr>
        <w:t>dh_structure_unit() {</w:t>
        <w:br/>
        <w:t xml:space="preserve">  body_model_idc                  u(8)</w:t>
        <w:br/>
        <w:t xml:space="preserve">  joint_count                     ue(v)</w:t>
        <w:br/>
        <w:t xml:space="preserve">  shape_parameter_count           ue(v)</w:t>
        <w:br/>
        <w:t xml:space="preserve">  expression_parameter_count      ue(v)</w:t>
        <w:br/>
        <w:t xml:space="preserve">  primitive_count                 ue(v)</w:t>
        <w:br/>
        <w:t xml:space="preserve">  parameter_layout_count          ue(v)</w:t>
        <w:br/>
        <w:t xml:space="preserve">  for (i=0; i&lt;parameter_layout_count; i++) {</w:t>
        <w:br/>
        <w:t xml:space="preserve">    parameter_semantic_id         u(16)</w:t>
        <w:br/>
        <w:t xml:space="preserve">    component_count               ue(v)</w:t>
        <w:br/>
        <w:t xml:space="preserve">    numeric_format_idc            u(4)</w:t>
        <w:br/>
        <w:t xml:space="preserve">  }</w:t>
        <w:br/>
        <w:t xml:space="preserve">  external_asset_count            ue(v)</w:t>
        <w:br/>
        <w:t xml:space="preserve">  ...</w:t>
        <w:br/>
        <w:t>}</w:t>
      </w:r>
    </w:p>
    <w:p>
      <w:r>
        <w:br w:type="page"/>
      </w:r>
    </w:p>
    <w:p>
      <w:pPr>
        <w:pStyle w:val="Heading1"/>
        <w:keepNext/>
      </w:pPr>
      <w:r>
        <w:t>9 运动参数子流</w:t>
      </w:r>
    </w:p>
    <w:p>
      <w:pPr>
        <w:pStyle w:val="Heading2"/>
        <w:keepNext/>
      </w:pPr>
      <w:r>
        <w:t>9.1 参数集合</w:t>
      </w:r>
    </w:p>
    <w:p>
      <w:pPr>
        <w:spacing w:line="324" w:lineRule="auto"/>
        <w:ind w:firstLine="420"/>
      </w:pPr>
      <w:r>
        <w:t>运动参数单元可包含 transl、global_orient、body_pose、left_hand_pose、right_hand_pose、jaw_pose、leye_pose、reye_pose、expression 和 betas。序列不使用的参数可通过 present_flag 省略。betas 等序列恒定参数宜只在随机访问点发送。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136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典型维度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预测方式</w:t>
            </w:r>
          </w:p>
        </w:tc>
        <w:tc>
          <w:tcPr>
            <w:tcW w:type="dxa" w:w="311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规范性要求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transl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帧间差分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应无损恢复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global_orient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旋转向量差分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应无损恢复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body_pose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逐分量/关节预测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应无损恢复或显式标记有损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hand_pose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2×45 或 PCA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逐分量预测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布局由结构单元声明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expression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实现声明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帧内/帧间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betas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实现声明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序列常量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随机访问点可用</w:t>
            </w:r>
          </w:p>
        </w:tc>
      </w:tr>
    </w:tbl>
    <w:p/>
    <w:p>
      <w:pPr>
        <w:pStyle w:val="Heading2"/>
        <w:keepNext/>
      </w:pPr>
      <w:r>
        <w:t>9.2 无损编码</w:t>
      </w:r>
    </w:p>
    <w:p>
      <w:pPr>
        <w:spacing w:line="324" w:lineRule="auto"/>
        <w:ind w:firstLine="420"/>
      </w:pPr>
      <w:r>
        <w:t>WD1.0 参考模式以原始数组的数据类型、形状和字节序为输入，对时间轴执行可逆预测，将残差按符号映射后进行 Huffman 编码。码流应携带参数键、维度、数据类型、原始长度和校验摘要。解码后序列化内容的 SHA-256 应与编码端记录一致。</w:t>
      </w:r>
    </w:p>
    <w:p>
      <w:pPr>
        <w:spacing w:before="80" w:after="120"/>
        <w:ind w:left="454" w:right="454"/>
        <w:shd w:fill="F2F2F2"/>
      </w:pPr>
      <w:r>
        <w:rPr>
          <w:rFonts w:ascii="Consolas" w:hAnsi="Consolas" w:eastAsia="等线"/>
          <w:sz w:val="16"/>
        </w:rPr>
        <w:t>motion_parameter_block() {</w:t>
        <w:br/>
        <w:t xml:space="preserve">  parameter_semantic_id           u(16)</w:t>
        <w:br/>
        <w:t xml:space="preserve">  dtype_idc                       u(4)</w:t>
        <w:br/>
        <w:t xml:space="preserve">  prediction_mode                 u(3)</w:t>
        <w:br/>
        <w:t xml:space="preserve">  shape_dimension_count           u(3)</w:t>
        <w:br/>
        <w:t xml:space="preserve">  for (d=0; d&lt;shape_dimension_count; d++) shape[d] ue(v)</w:t>
        <w:br/>
        <w:t xml:space="preserve">  symbol_count                    leb128(v)</w:t>
        <w:br/>
        <w:t xml:space="preserve">  huffman_table_length            leb128(v)</w:t>
        <w:br/>
        <w:t xml:space="preserve">  huffman_table                   bytes(huffman_table_length)</w:t>
        <w:br/>
        <w:t xml:space="preserve">  residual_payload_length         leb128(v)</w:t>
        <w:br/>
        <w:t xml:space="preserve">  residual_payload                bytes(residual_payload_length)</w:t>
        <w:br/>
        <w:t>}</w:t>
      </w:r>
    </w:p>
    <w:p>
      <w:pPr>
        <w:pStyle w:val="Heading2"/>
        <w:keepNext/>
      </w:pPr>
      <w:r>
        <w:t>9.3 解码过程</w:t>
      </w:r>
    </w:p>
    <w:p>
      <w:pPr>
        <w:spacing w:line="324" w:lineRule="auto"/>
        <w:ind w:firstLine="420"/>
      </w:pPr>
      <w:r>
        <w:t>解码器先验证参数布局和符号数量，再恢复 Huffman 表、解析残差、执行逆符号映射和逆预测，最后按声明的数据类型及形状组装数组。任何数组越界、符号数量不匹配或校验失败均应报告比特流错误，不应将未验证的数组交给人体模型。</w:t>
      </w:r>
    </w:p>
    <w:p>
      <w:r>
        <w:br w:type="page"/>
      </w:r>
    </w:p>
    <w:p>
      <w:pPr>
        <w:pStyle w:val="Heading1"/>
        <w:keepNext/>
      </w:pPr>
      <w:r>
        <w:t>10 网络参数子流</w:t>
      </w:r>
    </w:p>
    <w:p>
      <w:pPr>
        <w:pStyle w:val="Heading2"/>
        <w:keepNext/>
      </w:pPr>
      <w:r>
        <w:t>10.1 参数顺序和量化</w:t>
      </w:r>
    </w:p>
    <w:p>
      <w:pPr>
        <w:spacing w:line="324" w:lineRule="auto"/>
        <w:ind w:firstLine="420"/>
      </w:pPr>
      <w:r>
        <w:t>网络参数应按照 model_schema_hash 所覆盖的规范顺序连接。BatchNorm 的 num_batches_tracked 等离散状态不参与连续权重量化，但应在解码检查点的 avatar_net 状态字典中恢复。</w:t>
      </w:r>
    </w:p>
    <w:p>
      <w:pPr>
        <w:spacing w:line="324" w:lineRule="auto"/>
        <w:ind w:firstLine="420"/>
      </w:pPr>
      <w:r>
        <w:t>对连续参数 x，编码器使用 k=Round(x/Δq) 量化，其中 Δq 由 q_index 查表得到。WD1.0 参考表包含 10 个以 10 为底在 10⁻⁷ 至 1 之间对数均匀分布的步长。q_index 增大表示量化步长增大、码率降低、失真通常上升。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q_index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量化步长 Δq（参考实现）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1.2915×10⁻⁴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高保真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7.7426×10⁻⁴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高质量平衡点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4.6416×10⁻³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中码率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2.7826×10⁻²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低码率/预览</w:t>
            </w:r>
          </w:p>
        </w:tc>
      </w:tr>
    </w:tbl>
    <w:p/>
    <w:p>
      <w:pPr>
        <w:pStyle w:val="Heading2"/>
        <w:keepNext/>
      </w:pPr>
      <w:r>
        <w:t>10.2 概率模型和 Range coding</w:t>
      </w:r>
    </w:p>
    <w:p>
      <w:pPr>
        <w:spacing w:line="324" w:lineRule="auto"/>
        <w:ind w:firstLine="420"/>
      </w:pPr>
      <w:r>
        <w:t>量化符号采用零均值对称概率模型。尺度参数由量化符号标准差估计，并映射到预定义正尺度查找表。尺度查找表应从 10⁻³ 到 10³ 单调覆盖；不得将自然对数值直接作为 logspace 的指数端点，以免产生无穷尺度。</w:t>
      </w:r>
    </w:p>
    <w:p>
      <w:pPr>
        <w:spacing w:before="80" w:after="120"/>
        <w:ind w:left="454" w:right="454"/>
        <w:shd w:fill="F2F2F2"/>
      </w:pPr>
      <w:r>
        <w:rPr>
          <w:rFonts w:ascii="Consolas" w:hAnsi="Consolas" w:eastAsia="等线"/>
          <w:sz w:val="16"/>
        </w:rPr>
        <w:t>dh_network_unit() {</w:t>
        <w:br/>
        <w:t xml:space="preserve">  network_id                       u(16)</w:t>
        <w:br/>
        <w:t xml:space="preserve">  model_schema_hash               bytes(32)</w:t>
        <w:br/>
        <w:t xml:space="preserve">  q_index                         u(16)</w:t>
        <w:br/>
        <w:t xml:space="preserve">  scale_index                     u(16)</w:t>
        <w:br/>
        <w:t xml:space="preserve">  arithmetic_symbol_max           u(32)</w:t>
        <w:br/>
        <w:t xml:space="preserve">  parameter_element_count         u(64)</w:t>
        <w:br/>
        <w:t xml:space="preserve">  payload_length                  u(64)</w:t>
        <w:br/>
        <w:t xml:space="preserve">  payload                         bytes(payload_length)</w:t>
        <w:br/>
        <w:t>}</w:t>
      </w:r>
    </w:p>
    <w:p>
      <w:pPr>
        <w:pStyle w:val="Heading2"/>
        <w:keepNext/>
      </w:pPr>
      <w:r>
        <w:t>10.3 解码检查</w:t>
      </w:r>
    </w:p>
    <w:p>
      <w:pPr>
        <w:spacing w:line="324" w:lineRule="auto"/>
        <w:ind w:firstLine="420"/>
      </w:pPr>
      <w:r>
        <w:t>解码器应按结构声明逐张量取出符号并反量化，验证元素总数、张量形状、参数名称和 schema 哈希。网络载入应使用严格模式；除规范明确允许的状态外，不应静默忽略缺失键或多余键。</w:t>
      </w:r>
    </w:p>
    <w:p>
      <w:r>
        <w:br w:type="page"/>
      </w:r>
    </w:p>
    <w:p>
      <w:pPr>
        <w:pStyle w:val="Heading1"/>
        <w:keepNext/>
      </w:pPr>
      <w:r>
        <w:t>11 Posemap 子流</w:t>
      </w:r>
    </w:p>
    <w:p>
      <w:pPr>
        <w:pStyle w:val="Heading2"/>
        <w:keepNext/>
      </w:pPr>
      <w:r>
        <w:t>11.1 帧表示与归一化</w:t>
      </w:r>
    </w:p>
    <w:p>
      <w:pPr>
        <w:spacing w:line="324" w:lineRule="auto"/>
        <w:ind w:firstLine="420"/>
      </w:pPr>
      <w:r>
        <w:t>Posemap 原始特征可包含负数及超出显示范围的浮点值。编码前应逐帧或按组确定最小值/最大值，将特征可逆映射至视频编码器的整数样本范围；相应范围参数属于必需旁信息，应与帧建立一一对应关系并纳入总传输码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posemap_width/height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二维承载图尺寸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序列内变化时应发更新单元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channel_count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特征通道数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通道打包规则应声明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sample_bit_depth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视频输入位深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参考实现为 8 位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range_min/range_max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反归一化范围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应可靠传输；可无损压缩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codec_identifier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视频 codec 及版本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应可唯一解析对应载荷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intra_period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帧内刷新周期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影响随机访问和错误传播</w:t>
            </w:r>
          </w:p>
        </w:tc>
      </w:tr>
    </w:tbl>
    <w:p/>
    <w:p>
      <w:pPr>
        <w:pStyle w:val="Heading2"/>
        <w:keepNext/>
      </w:pPr>
      <w:r>
        <w:t>11.2 视频编码</w:t>
      </w:r>
    </w:p>
    <w:p>
      <w:pPr>
        <w:spacing w:line="324" w:lineRule="auto"/>
        <w:ind w:firstLine="420"/>
      </w:pPr>
      <w:r>
        <w:t>WD1.0 参考实现采用 DCVC 系列学习式视频编码器，将第一个帧及周期性刷新帧编码为 I 帧，其余编码为 P 帧。码率点由 rate_index 指定。其他符合性实现可使用传统或学习式视频编码器，但应在外层语法中携带 codec_identifier、模型摘要、码率点和关键帧位置。</w:t>
      </w:r>
    </w:p>
    <w:p>
      <w:pPr>
        <w:spacing w:before="80" w:after="120"/>
        <w:ind w:left="454" w:right="454"/>
        <w:shd w:fill="F2F2F2"/>
      </w:pPr>
      <w:r>
        <w:rPr>
          <w:rFonts w:ascii="Consolas" w:hAnsi="Consolas" w:eastAsia="等线"/>
          <w:sz w:val="16"/>
        </w:rPr>
        <w:t>dh_posemap_unit() {</w:t>
        <w:br/>
        <w:t xml:space="preserve">  posemap_id                       u(16)</w:t>
        <w:br/>
        <w:t xml:space="preserve">  codec_identifier                u(32)</w:t>
        <w:br/>
        <w:t xml:space="preserve">  codec_configuration_length      u(16)</w:t>
        <w:br/>
        <w:t xml:space="preserve">  codec_configuration             bytes(codec_configuration_length)</w:t>
        <w:br/>
        <w:t xml:space="preserve">  frame_index                     u(32)</w:t>
        <w:br/>
        <w:t xml:space="preserve">  random_access_flag              u(1)</w:t>
        <w:br/>
        <w:t xml:space="preserve">  range_side_information_flag     u(1)</w:t>
        <w:br/>
        <w:t xml:space="preserve">  reserved_zero_6bits             u(6)</w:t>
        <w:br/>
        <w:t xml:space="preserve">  if (range_side_information_flag) range_payload()</w:t>
        <w:br/>
        <w:t xml:space="preserve">  coded_posemap_length            u(32)</w:t>
        <w:br/>
        <w:t xml:space="preserve">  coded_posemap                   bytes(coded_posemap_length)</w:t>
        <w:br/>
        <w:t>}</w:t>
      </w:r>
    </w:p>
    <w:p>
      <w:pPr>
        <w:pStyle w:val="Heading2"/>
        <w:keepNext/>
      </w:pPr>
      <w:r>
        <w:t>11.3 解码与同步</w:t>
      </w:r>
    </w:p>
    <w:p>
      <w:pPr>
        <w:spacing w:line="324" w:lineRule="auto"/>
        <w:ind w:firstLine="420"/>
      </w:pPr>
      <w:r>
        <w:t>Posemap 解码帧数应与目标访问单元数匹配。解码器应按帧索引匹配范围旁信息，完成反归一化后再送入外观网络。缺失范围信息时，不应使用默认范围替代；可按错误恢复策略冻结上一有效 Posemap 或降级到基础层。</w:t>
      </w:r>
    </w:p>
    <w:p>
      <w:r>
        <w:br w:type="page"/>
      </w:r>
    </w:p>
    <w:p>
      <w:pPr>
        <w:pStyle w:val="Heading1"/>
        <w:keepNext/>
      </w:pPr>
      <w:r>
        <w:t>12 解析、缓冲和随机访问</w:t>
      </w:r>
    </w:p>
    <w:p>
      <w:pPr>
        <w:pStyle w:val="Heading2"/>
        <w:keepNext/>
      </w:pPr>
      <w:r>
        <w:t>12.1 解析过程</w:t>
      </w:r>
    </w:p>
    <w:p>
      <w:pPr>
        <w:spacing w:before="80" w:after="120"/>
        <w:ind w:left="454" w:right="454"/>
        <w:shd w:fill="F2F2F2"/>
      </w:pPr>
      <w:r>
        <w:rPr>
          <w:rFonts w:ascii="Consolas" w:hAnsi="Consolas" w:eastAsia="等线"/>
          <w:sz w:val="16"/>
        </w:rPr>
        <w:t>while (!end_of_stream) {</w:t>
        <w:br/>
        <w:t xml:space="preserve">  locate_start_code();</w:t>
        <w:br/>
        <w:t xml:space="preserve">  parse_common_unit_header();</w:t>
        <w:br/>
        <w:t xml:space="preserve">  validate(payload_size, layer_id, temporal_id);</w:t>
        <w:br/>
        <w:t xml:space="preserve">  if (unit_type is supported) parse_payload();</w:t>
        <w:br/>
        <w:t xml:space="preserve">  else skip(payload_size);</w:t>
        <w:br/>
        <w:t xml:space="preserve">  if (payload_crc_present_flag) verify_crc();</w:t>
        <w:br/>
        <w:t xml:space="preserve">  dispatch_to_layer_buffer();</w:t>
        <w:br/>
        <w:t>}</w:t>
      </w:r>
    </w:p>
    <w:p>
      <w:pPr>
        <w:spacing w:line="324" w:lineRule="auto"/>
        <w:ind w:firstLine="420"/>
      </w:pPr>
      <w:r>
        <w:t>解析器应对 payload_size 设置实现上限，避免整数溢出和无界内存分配。遇到未知 unit_type 时，应按长度跳过并继续同步。若公共头损坏，可搜索下一个 0x000001 起始码，但恢复后的访问单元在获得新的随机访问点前可被标记为不完整。</w:t>
      </w:r>
    </w:p>
    <w:p>
      <w:pPr>
        <w:pStyle w:val="Heading2"/>
        <w:keepNext/>
      </w:pPr>
      <w:r>
        <w:t>12.2 缓冲模型</w:t>
      </w:r>
    </w:p>
    <w:p>
      <w:pPr>
        <w:spacing w:line="324" w:lineRule="auto"/>
        <w:ind w:firstLine="420"/>
      </w:pPr>
      <w:r>
        <w:t>网络层通常是大体积、低频数据，应允许分片传送并在 schema 校验完成后原子切换。运动层和 Posemap 层按帧序号进入抖动缓冲。呈现某访问单元前，解码器应确保所引用的结构、网络版本、运动帧和 Posemap 帧均可用。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情形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必需行为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允许的降级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网络层尚未完成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不得使用未完整网络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继续使用上一网络版本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运动帧丢失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标记 AU 不完整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保持上一姿态或插值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Posemap P 帧丢失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停止引用损坏参考链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等待 I 帧/显示基础层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CRC 错误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丢弃对应单元并报告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按层独立恢复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时间戳乱序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按解码顺序缓存、按呈现顺序输出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超时丢弃</w:t>
            </w:r>
          </w:p>
        </w:tc>
      </w:tr>
    </w:tbl>
    <w:p/>
    <w:p>
      <w:pPr>
        <w:pStyle w:val="Heading2"/>
        <w:keepNext/>
      </w:pPr>
      <w:r>
        <w:t>12.3 随机访问</w:t>
      </w:r>
    </w:p>
    <w:p>
      <w:pPr>
        <w:spacing w:line="324" w:lineRule="auto"/>
        <w:ind w:firstLine="420"/>
      </w:pPr>
      <w:r>
        <w:t>随机访问点应包含或可引用一个已完整缓存的结构/网络版本、运动绝对帧、Posemap I 帧和必要的范围旁信息。接收端从随机访问点开始时，不应依赖该点之前的运动差分或 Posemap 参考帧。</w:t>
      </w:r>
    </w:p>
    <w:p>
      <w:r>
        <w:br w:type="page"/>
      </w:r>
    </w:p>
    <w:p>
      <w:pPr>
        <w:pStyle w:val="Heading1"/>
        <w:keepNext/>
      </w:pPr>
      <w:r>
        <w:t>13 解码端数字人重建</w:t>
      </w:r>
    </w:p>
    <w:p>
      <w:pPr>
        <w:pStyle w:val="Heading2"/>
        <w:keepNext/>
      </w:pPr>
      <w:r>
        <w:t>13.1 初始化</w:t>
      </w:r>
    </w:p>
    <w:p>
      <w:pPr>
        <w:spacing w:line="324" w:lineRule="auto"/>
        <w:ind w:firstLine="420"/>
      </w:pPr>
      <w:r>
        <w:t>解码器根据结构单元构建人体模型、规范姿态模板、三维高斯/神经外观网络及参数缓存。网络参数解码后应形成可严格载入的检查点。运动参数解码后应形成与训练/编码端键名、数据类型和维度一致的序列文件或等价内存对象。</w:t>
      </w:r>
    </w:p>
    <w:p>
      <w:pPr>
        <w:pStyle w:val="Heading2"/>
        <w:keepNext/>
      </w:pPr>
      <w:r>
        <w:t>13.2 逐帧重建</w:t>
      </w:r>
    </w:p>
    <w:p>
      <w:pPr>
        <w:spacing w:before="80" w:after="120"/>
        <w:ind w:left="454" w:right="454"/>
        <w:shd w:fill="F2F2F2"/>
      </w:pPr>
      <w:r>
        <w:rPr>
          <w:rFonts w:ascii="Consolas" w:hAnsi="Consolas" w:eastAsia="等线"/>
          <w:sz w:val="16"/>
        </w:rPr>
        <w:t>for each access unit t:</w:t>
        <w:br/>
        <w:t xml:space="preserve">  motion_t  = decode_motion(t)</w:t>
        <w:br/>
        <w:t xml:space="preserve">  posemap_t = decode_posemap(t, references)</w:t>
        <w:br/>
        <w:t xml:space="preserve">  body_t    = SMPLX(template, shape, motion_t)</w:t>
        <w:br/>
        <w:t xml:space="preserve">  features  = StyleUNet(posemap_t; decoded_network)</w:t>
        <w:br/>
        <w:t xml:space="preserve">  gaussians = deform(canonical_gaussians, body_t, features)</w:t>
        <w:br/>
        <w:t xml:space="preserve">  image_t   = gaussian_splat(gaussians, camera_t)</w:t>
        <w:br/>
        <w:t xml:space="preserve">  output(image_t, timestamp_t)</w:t>
      </w:r>
    </w:p>
    <w:p>
      <w:pPr>
        <w:spacing w:line="324" w:lineRule="auto"/>
        <w:ind w:firstLine="420"/>
      </w:pPr>
      <w:r>
        <w:t>坐标系、单位、旋转表示和关节顺序应与序列头及结构单元一致。任何隐式转换均应在实现文档中记录。对相同码流、相同渲染相机和相同确定性执行环境，解码端应产生可重复结果；浮点并行计算造成的微小差异可按附录一致性容限处理。</w:t>
      </w:r>
    </w:p>
    <w:p>
      <w:pPr>
        <w:pStyle w:val="Heading2"/>
        <w:keepNext/>
      </w:pPr>
      <w:r>
        <w:t>13.3 编码端/解码端模拟</w:t>
      </w:r>
    </w:p>
    <w:p>
      <w:pPr>
        <w:spacing w:line="324" w:lineRule="auto"/>
        <w:ind w:firstLine="420"/>
      </w:pPr>
      <w:r>
        <w:t>离线参考流程允许先执行一次编码端 test，保存中间结果；随后对中间结果压缩和解码，并以解码内容作为输入再次执行 test，以此模拟远端解码器。第二次 test 不应读取未压缩网络、原始运动文件或原始 Posemap 帧，否则该结果不构成完整的端到端压缩验证。</w:t>
      </w:r>
    </w:p>
    <w:p>
      <w:r>
        <w:br w:type="page"/>
      </w:r>
    </w:p>
    <w:p>
      <w:pPr>
        <w:pStyle w:val="Heading1"/>
        <w:keepNext/>
      </w:pPr>
      <w:r>
        <w:t>14 渲染过程</w:t>
      </w:r>
    </w:p>
    <w:p>
      <w:pPr>
        <w:pStyle w:val="Heading2"/>
        <w:keepNext/>
      </w:pPr>
      <w:r>
        <w:t>14.1 三维高斯属性</w:t>
      </w:r>
    </w:p>
    <w:p>
      <w:pPr>
        <w:spacing w:line="324" w:lineRule="auto"/>
        <w:ind w:firstLine="420"/>
      </w:pPr>
      <w:r>
        <w:t>每个高斯基元至少具有中心位置、尺度、旋转、不透明度和颜色/球谐系数。属性可由规范空间中的持久参数与逐帧网络输出共同确定。人体蒙皮或非刚性形变将规范高斯映射到目标姿态。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属性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符号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中心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μ∈R³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变换后位于声明坐标系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尺度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s∈R⁺³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各分量应为正且有限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旋转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 或 q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四元数应归一化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不透明度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α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渲染前裁剪至有效范围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颜色/SH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阶数和通道布局由结构声明</w:t>
            </w:r>
          </w:p>
        </w:tc>
      </w:tr>
    </w:tbl>
    <w:p/>
    <w:p>
      <w:pPr>
        <w:pStyle w:val="Heading2"/>
        <w:keepNext/>
      </w:pPr>
      <w:r>
        <w:t>14.2 投影和合成</w:t>
      </w:r>
    </w:p>
    <w:p>
      <w:pPr>
        <w:spacing w:line="324" w:lineRule="auto"/>
        <w:ind w:firstLine="420"/>
      </w:pPr>
      <w:r>
        <w:t>渲染器按相机内外参将三维协方差投影到屏幕空间，以深度顺序执行透明度合成。为降低实现差异，渲染参数应声明背景色、近平面、远平面、颜色空间、输出分辨率和抗锯齿设置。</w:t>
      </w:r>
    </w:p>
    <w:p>
      <w:pPr>
        <w:pStyle w:val="Heading2"/>
        <w:keepNext/>
      </w:pPr>
      <w:r>
        <w:t>14.3 质量测量</w:t>
      </w:r>
    </w:p>
    <w:p>
      <w:pPr>
        <w:spacing w:line="324" w:lineRule="auto"/>
        <w:ind w:firstLine="420"/>
      </w:pPr>
      <w:r>
        <w:t>对训练/采集真值的评价可报告 PSNR、SSIM 和感知指标。仅比较解码端输出与未压缩编码端参考输出时，应称为“参考重建一致性”，不得等同于对真实图像的重建质量。码率应包含网络、运动、Posemap 视频码流及其范围旁信息、必要头部和校验数据。</w:t>
      </w:r>
    </w:p>
    <w:p>
      <w:r>
        <w:br w:type="page"/>
      </w:r>
    </w:p>
    <w:p>
      <w:pPr>
        <w:pStyle w:val="Heading1"/>
        <w:keepNext/>
      </w:pPr>
      <w:r>
        <w:t>15 档次和级别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c>
          <w:tcPr>
            <w:tcW w:type="dxa" w:w="130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profile_idc</w:t>
            </w:r>
          </w:p>
        </w:tc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档次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必需工具</w:t>
            </w:r>
          </w:p>
        </w:tc>
        <w:tc>
          <w:tcPr>
            <w:tcW w:type="dxa" w:w="209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DH-Basic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 + 无损运动 + 静态外观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低复杂度驱动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DH-Posemap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Basic + Posemap 视频层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动态细节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DH-Hierarchical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Posemap + 量化网络层 + 分层更新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完整 HGC 流水线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DH-LowLatency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Hierarchical + 低时延约束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实时通信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6"/>
        <w:gridCol w:w="1826"/>
        <w:gridCol w:w="1826"/>
        <w:gridCol w:w="1826"/>
        <w:gridCol w:w="1826"/>
      </w:tblGrid>
      <w:tr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level_idc</w:t>
            </w:r>
          </w:p>
        </w:tc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最大帧率</w:t>
            </w:r>
          </w:p>
        </w:tc>
        <w:tc>
          <w:tcPr>
            <w:tcW w:type="dxa" w:w="24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最大 Posemap 样本/帧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最大网络载荷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最大缓冲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512×512×3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512 MiB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 GiB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1024×1024×3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 GiB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 GiB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2048×2048×3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 GiB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 GiB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4096×4096×4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 GiB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 GiB</w:t>
            </w:r>
          </w:p>
        </w:tc>
      </w:tr>
    </w:tbl>
    <w:p/>
    <w:p>
      <w:pPr>
        <w:spacing w:line="324" w:lineRule="auto"/>
        <w:ind w:firstLine="420"/>
      </w:pPr>
      <w:r>
        <w:t>上述级别约束为 WD1.0 建议值，用于实现协商和资源保护。后续工作草案可依据复杂度实验调整。解码器声明支持某档次/级别时，应支持该组合规定的全部必需语法和工具。</w:t>
      </w:r>
    </w:p>
    <w:p>
      <w:r>
        <w:br w:type="page"/>
      </w:r>
    </w:p>
    <w:p>
      <w:pPr>
        <w:pStyle w:val="Heading1"/>
        <w:keepNext/>
      </w:pPr>
      <w:r>
        <w:t>16 一致性、错误处理与安全</w:t>
      </w:r>
    </w:p>
    <w:p>
      <w:pPr>
        <w:pStyle w:val="Heading2"/>
        <w:keepNext/>
      </w:pPr>
      <w:r>
        <w:t>16.1 比特流一致性</w:t>
      </w:r>
    </w:p>
    <w:p>
      <w:pPr>
        <w:spacing w:line="324" w:lineRule="auto"/>
        <w:ind w:firstLine="420"/>
      </w:pPr>
      <w:r>
        <w:t>符合本文件的比特流应满足语法范围、单元依赖、参考关系、元素数量和校验约束。编码器应生成至少一个可解码随机访问点。所有实际传输的旁信息均应计入码率统计。</w:t>
      </w:r>
    </w:p>
    <w:p>
      <w:pPr>
        <w:pStyle w:val="Heading2"/>
        <w:keepNext/>
      </w:pPr>
      <w:r>
        <w:t>16.2 解码器一致性</w:t>
      </w:r>
    </w:p>
    <w:p>
      <w:pPr>
        <w:spacing w:line="324" w:lineRule="auto"/>
        <w:ind w:firstLine="420"/>
      </w:pPr>
      <w:r>
        <w:t>解码器应对声明档次和级别内的符合性码流完成解析和重建，不发生越界访问、未定义张量载入或无限资源分配。运动参数无损模式应通过摘要一致性验证；网络层应报告量化误差和载入结果；Posemap 层应报告解码帧数和参考链状态。</w:t>
      </w:r>
    </w:p>
    <w:p>
      <w:pPr>
        <w:pStyle w:val="Heading2"/>
        <w:keepNext/>
      </w:pPr>
      <w:r>
        <w:t>16.3 安全考虑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4"/>
        <w:gridCol w:w="4564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风险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规范性缓解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超大 payload_size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在分配内存前校验级别上限和剩余字节数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恶意张量形状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校验 schema、元素总数、乘法溢出和实现上限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不可信模型执行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比特流仅承载参数；网络结构来自受信 schema，禁止载入任意可执行对象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路径注入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语义标识不得直接作为文件系统路径；输出目录应隔离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解压炸弹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限制 Huffman 符号数、视频分辨率、帧数和缓冲量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隐私泄漏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对身份网络和运动数据实施访问控制、加密和留存策略</w:t>
            </w:r>
          </w:p>
        </w:tc>
      </w:tr>
    </w:tbl>
    <w:p/>
    <w:p>
      <w:pPr>
        <w:pStyle w:val="Heading2"/>
        <w:keepNext/>
      </w:pPr>
      <w:r>
        <w:t>16.4 实验记录</w:t>
      </w:r>
    </w:p>
    <w:p>
      <w:pPr>
        <w:spacing w:line="324" w:lineRule="auto"/>
        <w:ind w:firstLine="420"/>
      </w:pPr>
      <w:r>
        <w:t>实验报告应至少记录代码版本、环境、GPU、数据序列、帧范围、视角、所有编码参数、各子流字节数、旁信息字节数、运行时间、质量指标、异常和重试情况。报告应保存机器可读 JSON/CSV 结果以便审计。</w:t>
      </w:r>
    </w:p>
    <w:p>
      <w:r>
        <w:br w:type="page"/>
      </w:r>
    </w:p>
    <w:p>
      <w:pPr>
        <w:pStyle w:val="Heading1"/>
        <w:keepNext/>
      </w:pPr>
      <w:r>
        <w:t>附录 A（规范性）档次工具表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6"/>
        <w:gridCol w:w="1826"/>
        <w:gridCol w:w="1826"/>
        <w:gridCol w:w="1826"/>
        <w:gridCol w:w="182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工具</w:t>
            </w:r>
          </w:p>
        </w:tc>
        <w:tc>
          <w:tcPr>
            <w:tcW w:type="dxa" w:w="130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Basic</w:t>
            </w:r>
          </w:p>
        </w:tc>
        <w:tc>
          <w:tcPr>
            <w:tcW w:type="dxa" w:w="130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Posemap</w:t>
            </w:r>
          </w:p>
        </w:tc>
        <w:tc>
          <w:tcPr>
            <w:tcW w:type="dxa" w:w="147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Hierarchical</w:t>
            </w:r>
          </w:p>
        </w:tc>
        <w:tc>
          <w:tcPr>
            <w:tcW w:type="dxa" w:w="147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LowLatency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序列/结构头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必需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必需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必需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必需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无损运动层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必需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必需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必需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必需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Posemap 视频层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必需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必需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必需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量化网络层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可选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可选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必需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必需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多层 layer_id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可选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必需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CRC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可选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可选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建议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建议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低时延标志与缓冲约束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可选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必需</w:t>
            </w:r>
          </w:p>
        </w:tc>
      </w:tr>
    </w:tbl>
    <w:p/>
    <w:p>
      <w:pPr>
        <w:pStyle w:val="Heading1"/>
        <w:keepNext/>
      </w:pPr>
      <w:r>
        <w:t>附录 B（资料性）参考流水线</w:t>
      </w:r>
    </w:p>
    <w:p>
      <w:pPr>
        <w:spacing w:before="80" w:after="120"/>
        <w:ind w:left="454" w:right="454"/>
        <w:shd w:fill="F2F2F2"/>
      </w:pPr>
      <w:r>
        <w:rPr>
          <w:rFonts w:ascii="Consolas" w:hAnsi="Consolas" w:eastAsia="等线"/>
          <w:sz w:val="16"/>
        </w:rPr>
        <w:t># 单入口示例；各 codec 由流水线自动调用</w:t>
        <w:br/>
        <w:t>python -m hgc_avatar.pipeline --config &lt;pipeline.yaml&gt; --stage all</w:t>
        <w:br/>
        <w:br/>
        <w:t># 批量分层实验</w:t>
        <w:br/>
        <w:t>python scripts/run_compression_matrix.py \</w:t>
        <w:br/>
        <w:t xml:space="preserve">  --config configs/experiments/compression_matrix.server.yaml --jobs 4</w:t>
      </w:r>
    </w:p>
    <w:p>
      <w:pPr>
        <w:spacing w:line="324" w:lineRule="auto"/>
        <w:ind w:firstLine="420"/>
      </w:pPr>
      <w:r>
        <w:t>参考流水线先生成 encoder/render、encoder/posemap 和中间参数，然后产生 compression/network、compression/smpl、compression/posemap，最后生成 decoder/checkpoint、decoder/smpl_params.npz 和 decoder/render。verification.json 对比两次渲染。</w:t>
      </w:r>
    </w:p>
    <w:p>
      <w:pPr>
        <w:pStyle w:val="Heading1"/>
        <w:keepNext/>
      </w:pPr>
      <w:r>
        <w:t>附录 C（资料性）码率核算示例</w:t>
      </w:r>
    </w:p>
    <w:p>
      <w:pPr>
        <w:spacing w:before="80" w:after="120"/>
        <w:ind w:left="454" w:right="454"/>
        <w:shd w:fill="F2F2F2"/>
      </w:pPr>
      <w:r>
        <w:rPr>
          <w:rFonts w:ascii="Consolas" w:hAnsi="Consolas" w:eastAsia="等线"/>
          <w:sz w:val="16"/>
        </w:rPr>
        <w:t>total_bytes = network_header + network_payload</w:t>
        <w:br/>
        <w:t xml:space="preserve">            + motion_stream</w:t>
        <w:br/>
        <w:t xml:space="preserve">            + posemap_video_payload + posemap_range_side_info</w:t>
        <w:br/>
        <w:t xml:space="preserve">            + mandatory_container_headers + integrity_data</w:t>
        <w:br/>
        <w:t>KiB_per_frame = total_bytes / frame_count / 1024</w:t>
      </w:r>
    </w:p>
    <w:p>
      <w:pPr>
        <w:spacing w:line="324" w:lineRule="auto"/>
        <w:ind w:firstLine="420"/>
      </w:pPr>
      <w:r>
        <w:t>网络层为一次性初始化数据时，应同时报告“完整序列总字节数”和“按序列帧数摊销的 KiB/帧”。跨会话缓存网络的业务场景可另行报告稳态码率，但不得用稳态值替代完整传输成本。</w:t>
      </w:r>
    </w:p>
    <w:p>
      <w:r>
        <w:br w:type="page"/>
      </w:r>
    </w:p>
    <w:p>
      <w:pPr>
        <w:pStyle w:val="Heading1"/>
        <w:keepNext/>
      </w:pPr>
      <w:r>
        <w:t>附录 D（资料性）WD1.0 后续工作</w:t>
      </w:r>
    </w:p>
    <w:p>
      <w:pPr>
        <w:pStyle w:val="ListBullet"/>
      </w:pPr>
      <w:r>
        <w:t>统一 network schema 的规范化序列化规则及跨框架参数映射；</w:t>
      </w:r>
    </w:p>
    <w:p>
      <w:pPr>
        <w:pStyle w:val="ListBullet"/>
      </w:pPr>
      <w:r>
        <w:t>补充 Posemap 通道打包、范围旁信息预测和熵编码规范；</w:t>
      </w:r>
    </w:p>
    <w:p>
      <w:pPr>
        <w:pStyle w:val="ListBullet"/>
      </w:pPr>
      <w:r>
        <w:t>建立多厂商解码器的一致性码流、误差容限和测试向量；</w:t>
      </w:r>
    </w:p>
    <w:p>
      <w:pPr>
        <w:pStyle w:val="ListBullet"/>
      </w:pPr>
      <w:r>
        <w:t>研究网络分块、渐进传输、局部更新及可伸缩增强层；</w:t>
      </w:r>
    </w:p>
    <w:p>
      <w:pPr>
        <w:pStyle w:val="ListBullet"/>
      </w:pPr>
      <w:r>
        <w:t>形成实时档次的端到端时延、显存和功耗约束；</w:t>
      </w:r>
    </w:p>
    <w:p>
      <w:pPr>
        <w:pStyle w:val="ListBullet"/>
      </w:pPr>
      <w:r>
        <w:t>补充身份保护、水印、加密和模型知识产权元数据。</w:t>
      </w:r>
    </w:p>
    <w:p>
      <w:pPr>
        <w:pStyle w:val="Heading1"/>
        <w:keepNext/>
      </w:pPr>
      <w:r>
        <w:t>参考文献</w:t>
      </w:r>
    </w:p>
    <w:p>
      <w:r>
        <w:t>[1] HGC-Avatar: Hierarchical Gaussian Compression for Streamable Dynamic 3D Avatars, ACM Multimedia 2025.</w:t>
      </w:r>
    </w:p>
    <w:p>
      <w:r>
        <w:t>[2] Kerbl B, et al. 3D Gaussian Splatting for Real-Time Radiance Field Rendering, ACM TOG, 2023.</w:t>
      </w:r>
    </w:p>
    <w:p>
      <w:r>
        <w:t>[3] Pavlakos G, et al. Expressive Body Capture: 3D Hands, Face, and Body from a Single Image, CVPR, 2019.</w:t>
      </w:r>
    </w:p>
    <w:p>
      <w:r>
        <w:t>[4] Li J, et al. Deep Contextual Video Compression, NeurIPS, 2021.</w:t>
      </w:r>
    </w:p>
    <w:p>
      <w:r>
        <w:t>[5] 《三维体视频智能编码标准》WD4.0，AVS N4120，2025.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0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— </w:t>
    </w:r>
    <w:r>
      <w:fldChar w:fldCharType="begin"/>
      <w:instrText xml:space="preserve">PAGE</w:instrText>
      <w:fldChar w:fldCharType="separate"/>
      <w:fldChar w:fldCharType="end"/>
    </w:r>
    <w: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8"/>
      </w:rPr>
      <w:t>三维数字人智能编码标准（WD1.0）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三维数字人智能编码标准 WD1.0</dc:title>
  <dc:subject>动态三维数字人的分层表示、编码、解码与渲染</dc:subject>
  <dc:creator>HGC-Avatar 项目 / AVS VRU 组工作草案</dc:creator>
  <cp:keywords>三维数字人,HGC-Avatar,智能编码,WD1.0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