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/>
          <w:color w:val="1F4E78"/>
          <w:sz w:val="54"/>
        </w:rPr>
        <w:t>HGC-Avatar 多数据集</w:t>
        <w:br/>
        <w:t>分层压缩实验报告</w:t>
      </w:r>
    </w:p>
    <w:p>
      <w:pPr>
        <w:jc w:val="center"/>
      </w:pPr>
      <w:r>
        <w:rPr>
          <w:sz w:val="26"/>
        </w:rPr>
        <w:t>AvatarReX / THuman4.0 · q=4/5/6/7 · 端到端解码重建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实验日期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2026年8月13日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实验版本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fe127e8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工作点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 个完整人物序列 × 4 个网络量化层级 = 16 点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帧范围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每序列前 500 帧（索引 0–499），front 视角，img_scale=1.0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报告性质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服务器真实运行结果；非历史日志转录</w:t>
            </w:r>
          </w:p>
        </w:tc>
      </w:tr>
    </w:tbl>
    <w:p/>
    <w:p>
      <w:pPr>
        <w:jc w:val="center"/>
      </w:pPr>
      <w:r>
        <w:rPr>
          <w:b/>
        </w:rPr>
        <w:t>结论先行：三层编码已由统一流水线自动执行；q=5 是默认的质量/码率平衡档，q=4 用于更高保真，q=6/7 用于更低初始化负担。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spacing w:line="324" w:lineRule="auto"/>
        <w:ind w:firstLine="420"/>
      </w:pPr>
      <w:r>
        <w:t>在 Word 或 LibreOffice 中更新域即可刷新目录和页码。</w:t>
      </w:r>
    </w:p>
    <w:p>
      <w:r>
        <w:br w:type="page"/>
      </w:r>
    </w:p>
    <w:p>
      <w:pPr>
        <w:pStyle w:val="Heading1"/>
      </w:pPr>
      <w:r>
        <w:t>1 执行摘要</w:t>
      </w:r>
    </w:p>
    <w:p>
      <w:pPr>
        <w:spacing w:line="324" w:lineRule="auto"/>
        <w:ind w:firstLine="420"/>
      </w:pPr>
      <w:r>
        <w:t>本实验成功覆盖 AvatarReX 的 lbn1、zzr 和 THuman4.0 的 subject00、subject02，共 4 个具有完整数据与训练检查点的人物序列。每个序列运行 q=4、5、6、7 四个 StyleUNet 网络量化档，共 16 个端到端工作点、8,000 个解码端渲染帧；编码端参考帧按人物共享，共 2,000 帧。</w:t>
      </w:r>
    </w:p>
    <w:p>
      <w:pPr>
        <w:spacing w:line="324" w:lineRule="auto"/>
        <w:ind w:firstLine="420"/>
      </w:pPr>
      <w:r>
        <w:t>从 q=4 到 q=7，四序列平均完整传输成本从 1061.09 KiB/帧降至 500.17 KiB/帧，降低 52.86%。该成本按 500 帧摊销，包含网络码流、SMPL-X 运动码流、Posemap 视频码流及 Posemap 范围旁信息。</w:t>
      </w:r>
    </w:p>
    <w:p>
      <w:pPr>
        <w:spacing w:line="324" w:lineRule="auto"/>
        <w:ind w:firstLine="420"/>
      </w:pPr>
      <w:r>
        <w:t>实验中的 PSNR、SSIM 和 MAE 比较“解码端重建”与“未压缩中间表示的编码端参考重建”，用来衡量压缩引入的附加误差。它们不是相对于采集真值图像的指标，因此不可直接与论文主表中的真值 PSNR/SSIM/LPIPS 横向比较。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q</w:t>
            </w:r>
          </w:p>
        </w:tc>
        <w:tc>
          <w:tcPr>
            <w:tcW w:type="dxa" w:w="190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平均总成本 KiB/帧</w:t>
            </w:r>
          </w:p>
        </w:tc>
        <w:tc>
          <w:tcPr>
            <w:tcW w:type="dxa" w:w="190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平均参考 PSNR/dB</w:t>
            </w:r>
          </w:p>
        </w:tc>
        <w:tc>
          <w:tcPr>
            <w:tcW w:type="dxa" w:w="190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平均参考 SSIM</w:t>
            </w:r>
          </w:p>
        </w:tc>
        <w:tc>
          <w:tcPr>
            <w:tcW w:type="dxa" w:w="190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平均网络 MSE</w:t>
            </w:r>
          </w:p>
        </w:tc>
      </w:tr>
      <w:tr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1061.090</w:t>
            </w:r>
          </w:p>
        </w:tc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37.060</w:t>
            </w:r>
          </w:p>
        </w:tc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0.992931</w:t>
            </w:r>
          </w:p>
        </w:tc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1.390e-09</w:t>
            </w:r>
          </w:p>
        </w:tc>
      </w:tr>
      <w:tr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701.454</w:t>
            </w:r>
          </w:p>
        </w:tc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36.855</w:t>
            </w:r>
          </w:p>
        </w:tc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0.992733</w:t>
            </w:r>
          </w:p>
        </w:tc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4.996e-08</w:t>
            </w:r>
          </w:p>
        </w:tc>
      </w:tr>
      <w:tr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626.541</w:t>
            </w:r>
          </w:p>
        </w:tc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34.242</w:t>
            </w:r>
          </w:p>
        </w:tc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0.988200</w:t>
            </w:r>
          </w:p>
        </w:tc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1.795e-06</w:t>
            </w:r>
          </w:p>
        </w:tc>
      </w:tr>
      <w:tr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500.174</w:t>
            </w:r>
          </w:p>
        </w:tc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25.223</w:t>
            </w:r>
          </w:p>
        </w:tc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0.952903</w:t>
            </w:r>
          </w:p>
        </w:tc>
        <w:tc>
          <w:tcPr>
            <w:tcW w:type="dxa" w:w="190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6.452e-05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0000" cy="22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gregate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— 四序列聚合后的码率与参考重建一致性</w:t>
      </w:r>
    </w:p>
    <w:p>
      <w:r>
        <w:br w:type="page"/>
      </w:r>
    </w:p>
    <w:p>
      <w:pPr>
        <w:pStyle w:val="Heading1"/>
      </w:pPr>
      <w:r>
        <w:t>2 实验目标与系统边界</w:t>
      </w:r>
    </w:p>
    <w:p>
      <w:pPr>
        <w:pStyle w:val="Heading2"/>
      </w:pPr>
      <w:r>
        <w:t>2.1 目标</w:t>
      </w:r>
    </w:p>
    <w:p>
      <w:pPr>
        <w:pStyle w:val="ListBullet"/>
      </w:pPr>
      <w:r>
        <w:t>复现编码端重建—中间表示导出—三层压缩—解码端重建的完整 pipeline；</w:t>
      </w:r>
    </w:p>
    <w:p>
      <w:pPr>
        <w:pStyle w:val="ListBullet"/>
      </w:pPr>
      <w:r>
        <w:t>在不同人物、不同数据集族上验证 q 层级的码率—失真趋势；</w:t>
      </w:r>
    </w:p>
    <w:p>
      <w:pPr>
        <w:pStyle w:val="ListBullet"/>
      </w:pPr>
      <w:r>
        <w:t>验证 SMPL-X 运动参数无损往返、网络检查点严格载入、Posemap 帧数同步；</w:t>
      </w:r>
    </w:p>
    <w:p>
      <w:pPr>
        <w:pStyle w:val="ListBullet"/>
      </w:pPr>
      <w:r>
        <w:t>形成机器可读 JSON/CSV、中文 Word 报告和可断点续跑脚本。</w:t>
      </w:r>
    </w:p>
    <w:p>
      <w:pPr>
        <w:pStyle w:val="Heading2"/>
      </w:pPr>
      <w:r>
        <w:t>2.2 编码边界</w:t>
      </w:r>
    </w:p>
    <w:p>
      <w:pPr>
        <w:spacing w:line="324" w:lineRule="auto"/>
        <w:ind w:firstLine="420"/>
      </w:pPr>
      <w:r>
        <w:t>网络参数是初始化/更新层；SMPL-X 是逐帧运动层；Posemap 是逐帧时变特征层。q 只改变网络层量化步长。为确保公平，四个 q 点复用同一人物的编码端渲染、同一无损 SMPL-X 码流、同一 DCVC rate_index=0 Posemap 码流和相同 500 帧范围。</w:t>
      </w:r>
    </w:p>
    <w:p>
      <w:pPr>
        <w:spacing w:line="324" w:lineRule="auto"/>
        <w:ind w:firstLine="420"/>
      </w:pPr>
      <w:r>
        <w:t>三个 codec 在实现层保持独立接口，便于调试和替换；正式实验由 run_compression_matrix.py 自动调度，不需要人为执行三次压缩命令。</w:t>
      </w:r>
    </w:p>
    <w:p>
      <w:pPr>
        <w:ind w:left="454" w:right="454"/>
        <w:shd w:fill="F2F2F2"/>
      </w:pPr>
      <w:r>
        <w:rPr>
          <w:rFonts w:ascii="Consolas" w:hAnsi="Consolas" w:eastAsia="等线"/>
          <w:sz w:val="16"/>
        </w:rPr>
        <w:t>Encoder test/export</w:t>
        <w:br/>
        <w:t xml:space="preserve">  ├─ StyleUNet checkpoint -&gt; quantization + range coding (q=4/5/6/7)</w:t>
        <w:br/>
        <w:t xml:space="preserve">  ├─ SMPL-X parameters    -&gt; lossless prediction/Huffman</w:t>
        <w:br/>
        <w:t xml:space="preserve">  └─ Posemap frames       -&gt; DCVC rate 0 + range side information</w:t>
        <w:br/>
        <w:t>Decoder inputs -&gt; Decoder test/render -&gt; reference-fidelity verification</w:t>
      </w:r>
    </w:p>
    <w:p>
      <w:r>
        <w:br w:type="page"/>
      </w:r>
    </w:p>
    <w:p>
      <w:pPr>
        <w:pStyle w:val="Heading1"/>
      </w:pPr>
      <w:r>
        <w:t>3 数据与实验矩阵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数据集族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人物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原序列可用帧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实验帧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数据类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检查点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AvatarReX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lbn1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1901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0–499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MvRgbDatasetAvatarReX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batch_800000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AvatarReX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zzr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2001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0–499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MvRgbDatasetAvatarReX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batch_650000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THuman4.0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subject00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2500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0–499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MvRgbDatasetTHuman4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batch_650000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THuman4.0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subject02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3110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0–499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MvRgbDatasetTHuman4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batch_650000</w:t>
            </w:r>
          </w:p>
        </w:tc>
      </w:tr>
    </w:tbl>
    <w:p/>
    <w:p>
      <w:pPr>
        <w:spacing w:line="324" w:lineRule="auto"/>
        <w:ind w:firstLine="420"/>
      </w:pPr>
      <w:r>
        <w:t>“每一个数据集”在本报告中指当前服务器代码和资产中同时具备完整原始序列、avatar 配置及完成训练检查点的四个人物。论文还描述了更多 ActorsHQ/AvatarReX/THuman 序列，但本地未形成等价的完整压缩输入，故没有用历史目录或不完整资产虚构新结果。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固定项</w:t>
            </w:r>
          </w:p>
        </w:tc>
        <w:tc>
          <w:tcPr>
            <w:tcW w:type="dxa" w:w="47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取值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帧数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500/人物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视角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front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图像尺度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1.0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SMPL-X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无损；SHA-256 往返一致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Posemap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DCVC，rate_num=2，rate_index=0，intra_period=32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网络量化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q_index ∈ {4,5,6,7}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网络熵编码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零均值尺度概率模型 + Range coder</w:t>
            </w:r>
          </w:p>
        </w:tc>
      </w:tr>
    </w:tbl>
    <w:p/>
    <w:p>
      <w:r>
        <w:br w:type="page"/>
      </w:r>
    </w:p>
    <w:p>
      <w:pPr>
        <w:pStyle w:val="Heading1"/>
      </w:pPr>
      <w:r>
        <w:t>4 环境与可复现性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组件</w:t>
            </w:r>
          </w:p>
        </w:tc>
        <w:tc>
          <w:tcPr>
            <w:tcW w:type="dxa" w:w="47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实测环境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操作系统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Linux-5.15.0-130-generic-x86_64-with-glibc2.17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Python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Python 3.8.20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PyTorch / CUDA runtime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2.0.0+cu117 11.7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GPU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NVIDIA L20 48GB；人物并行映射到 GPU 0/2/3/4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统一环境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/mnt/hdd2tC/tmp/haocheng/conda_envs/hgc-avatar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代码目录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/mnt/hdd2tC/tmp/haocheng/hgc-avatar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结果目录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/mnt/hdd2tC/tmp/haocheng/hgc-avatar-runs/compression-matrix-20260813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矩阵配置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configs/experiments/compression_matrix.server.yaml</w:t>
            </w:r>
          </w:p>
        </w:tc>
      </w:tr>
    </w:tbl>
    <w:p/>
    <w:p>
      <w:pPr>
        <w:ind w:left="454" w:right="454"/>
        <w:shd w:fill="F2F2F2"/>
      </w:pPr>
      <w:r>
        <w:rPr>
          <w:rFonts w:ascii="Consolas" w:hAnsi="Consolas" w:eastAsia="等线"/>
          <w:sz w:val="16"/>
        </w:rPr>
        <w:t>conda activate /mnt/hdd2tC/tmp/haocheng/conda_envs/hgc-avatar</w:t>
        <w:br/>
        <w:t>python scripts/run_compression_matrix.py --jobs 4</w:t>
        <w:br/>
        <w:t>python scripts/generate_experiment_report.py --summary &lt;experiment_summary.json&gt; --run-dir &lt;run_dir&gt; --output &lt;report.docx&gt;</w:t>
      </w:r>
    </w:p>
    <w:p>
      <w:pPr>
        <w:spacing w:line="324" w:lineRule="auto"/>
        <w:ind w:firstLine="420"/>
      </w:pPr>
      <w:r>
        <w:t>批量脚本检查已有帧数、manifest、网络 metrics 和 verification 文件后续跑。每个人物的 q4 点负责共享编码端结果、SMPL-X 和 Posemap；q5–q7 仅重做网络压缩及解码端渲染。此结构既保证变量控制，也减少约 3 倍重复编码工作。</w:t>
      </w:r>
    </w:p>
    <w:p>
      <w:r>
        <w:br w:type="page"/>
      </w:r>
    </w:p>
    <w:p>
      <w:pPr>
        <w:pStyle w:val="Heading1"/>
      </w:pPr>
      <w:r>
        <w:t>5 完整实验结果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4"/>
              </w:rPr>
              <w:t>族</w:t>
            </w:r>
          </w:p>
        </w:tc>
        <w:tc>
          <w:tcPr>
            <w:tcW w:type="dxa" w:w="105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4"/>
              </w:rPr>
              <w:t>人物</w:t>
            </w:r>
          </w:p>
        </w:tc>
        <w:tc>
          <w:tcPr>
            <w:tcW w:type="dxa" w:w="105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4"/>
              </w:rPr>
              <w:t>q</w:t>
            </w:r>
          </w:p>
        </w:tc>
        <w:tc>
          <w:tcPr>
            <w:tcW w:type="dxa" w:w="105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4"/>
              </w:rPr>
              <w:t>网络/MiB</w:t>
            </w:r>
          </w:p>
        </w:tc>
        <w:tc>
          <w:tcPr>
            <w:tcW w:type="dxa" w:w="105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4"/>
              </w:rPr>
              <w:t>总 KiB/帧</w:t>
            </w:r>
          </w:p>
        </w:tc>
        <w:tc>
          <w:tcPr>
            <w:tcW w:type="dxa" w:w="105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4"/>
              </w:rPr>
              <w:t>网络压缩比</w:t>
            </w:r>
          </w:p>
        </w:tc>
        <w:tc>
          <w:tcPr>
            <w:tcW w:type="dxa" w:w="105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4"/>
              </w:rPr>
              <w:t>PSNR/dB</w:t>
            </w:r>
          </w:p>
        </w:tc>
        <w:tc>
          <w:tcPr>
            <w:tcW w:type="dxa" w:w="105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4"/>
              </w:rPr>
              <w:t>SSIM</w:t>
            </w:r>
          </w:p>
        </w:tc>
        <w:tc>
          <w:tcPr>
            <w:tcW w:type="dxa" w:w="105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4"/>
              </w:rPr>
              <w:t>MAE</w:t>
            </w:r>
          </w:p>
        </w:tc>
      </w:tr>
      <w:tr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AvatarReX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lbn1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516.25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1059.89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1.669×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34.748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0.991518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0.4684</w:t>
            </w:r>
          </w:p>
        </w:tc>
      </w:tr>
      <w:tr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AvatarReX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lbn1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340.83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700.64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2.528×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34.679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0.991435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0.4760</w:t>
            </w:r>
          </w:p>
        </w:tc>
      </w:tr>
      <w:tr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AvatarReX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lbn1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304.35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625.92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2.831×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32.455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0.987968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0.6224</w:t>
            </w:r>
          </w:p>
        </w:tc>
      </w:tr>
      <w:tr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AvatarReX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lbn1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242.64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499.54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3.551×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24.584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0.963426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2.1846</w:t>
            </w:r>
          </w:p>
        </w:tc>
      </w:tr>
      <w:tr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AvatarReX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zzr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516.48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1060.51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1.668×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39.890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0.995883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0.4069</w:t>
            </w:r>
          </w:p>
        </w:tc>
      </w:tr>
      <w:tr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AvatarReX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zzr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340.92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700.95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2.527×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39.697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0.995733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0.4188</w:t>
            </w:r>
          </w:p>
        </w:tc>
      </w:tr>
      <w:tr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AvatarReX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zzr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304.36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626.09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2.831×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37.836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0.994032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0.5656</w:t>
            </w:r>
          </w:p>
        </w:tc>
      </w:tr>
      <w:tr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AvatarReX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zzr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242.65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499.70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3.550×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28.887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0.969815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1.9306</w:t>
            </w:r>
          </w:p>
        </w:tc>
      </w:tr>
      <w:tr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THuman4.0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subject00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516.57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1061.28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1.668×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36.529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0.991178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0.5911</w:t>
            </w:r>
          </w:p>
        </w:tc>
      </w:tr>
      <w:tr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THuman4.0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subject00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340.95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701.61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2.527×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36.230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0.990829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0.6064</w:t>
            </w:r>
          </w:p>
        </w:tc>
      </w:tr>
      <w:tr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THuman4.0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subject00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304.37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626.68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2.830×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32.723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0.982773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0.9324</w:t>
            </w:r>
          </w:p>
        </w:tc>
      </w:tr>
      <w:tr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THuman4.0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subject00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242.66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500.30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3.550×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23.045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0.931308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3.5200</w:t>
            </w:r>
          </w:p>
        </w:tc>
      </w:tr>
      <w:tr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THuman4.0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subject02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516.88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1062.67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1.667×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37.073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0.993146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0.4699</w:t>
            </w:r>
          </w:p>
        </w:tc>
      </w:tr>
      <w:tr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THuman4.0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subject02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341.07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702.62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2.526×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36.815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0.992933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0.4795</w:t>
            </w:r>
          </w:p>
        </w:tc>
      </w:tr>
      <w:tr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THuman4.0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subject02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304.39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627.48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2.830×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33.955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0.988027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0.7111</w:t>
            </w:r>
          </w:p>
        </w:tc>
      </w:tr>
      <w:tr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THuman4.0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subject02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242.70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501.15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3.550×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24.376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0.947064</w:t>
            </w:r>
          </w:p>
        </w:tc>
        <w:tc>
          <w:tcPr>
            <w:tcW w:type="dxa" w:w="105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2.7337</w:t>
            </w:r>
          </w:p>
        </w:tc>
      </w:tr>
    </w:tbl>
    <w:p/>
    <w:p>
      <w:pPr>
        <w:spacing w:line="324" w:lineRule="auto"/>
        <w:ind w:firstLine="420"/>
      </w:pPr>
      <w:r>
        <w:t>网络压缩比以源检查点总字节数除以网络 header+bitstream 字节数。源检查点还包含少量元信息，因此该比值用于工程大小比较；完整传输成本另行加入 SMPL-X、Posemap 视频和范围旁信息。</w:t>
      </w:r>
    </w:p>
    <w:p>
      <w:r>
        <w:drawing>
          <wp:inline xmlns:a="http://schemas.openxmlformats.org/drawingml/2006/main" xmlns:pic="http://schemas.openxmlformats.org/drawingml/2006/picture">
            <wp:extent cx="5940000" cy="35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e_fide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— 每个人物的完整传输成本—参考 PSNR 曲线</w:t>
      </w:r>
    </w:p>
    <w:p>
      <w:r>
        <w:br w:type="page"/>
      </w:r>
    </w:p>
    <w:p>
      <w:pPr>
        <w:pStyle w:val="Heading1"/>
      </w:pPr>
      <w:r>
        <w:t>6 分层码流组成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人物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SMPL-X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Posemap 码流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范围旁信息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Posemap bpp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Posemap PSNR/dB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lbn1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1.17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79.74 KiB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26.85 KiB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0.004984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42.034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subject00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1.54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65.10 KiB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26.78 KiB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0.004069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41.979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subject02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1.91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63.32 KiB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26.73 KiB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0.003957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42.082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zzr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1.23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88.54 KiB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26.84 KiB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0.005534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41.545</w:t>
            </w:r>
          </w:p>
        </w:tc>
      </w:tr>
    </w:tbl>
    <w:p/>
    <w:p>
      <w:pPr>
        <w:spacing w:line="324" w:lineRule="auto"/>
        <w:ind w:firstLine="420"/>
      </w:pPr>
      <w:r>
        <w:t>SMPL-X、Posemap 码流和范围旁信息在一个人物的四个 q 点间完全复用。网络码流占完整成本的主体，因此 q 对总码率的影响明显；随着序列更长，网络初始化成本按帧摊销后会进一步下降。</w:t>
      </w:r>
    </w:p>
    <w:p>
      <w:r>
        <w:drawing>
          <wp:inline xmlns:a="http://schemas.openxmlformats.org/drawingml/2006/main" xmlns:pic="http://schemas.openxmlformats.org/drawingml/2006/picture">
            <wp:extent cx="5940000" cy="267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size_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 — 网络量化层级对应的码流大小与参数误差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人物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q4 网络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q5 网络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q6 网络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q7 网络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q4→q7 降幅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lbn1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516.25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340.83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304.35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242.64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53.00%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subject00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516.57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340.95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304.37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242.66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53.03%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subject02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516.88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341.07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304.39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242.70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53.04%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zzr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516.48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340.92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304.36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242.65 MiB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53.02%</w:t>
            </w:r>
          </w:p>
        </w:tc>
      </w:tr>
    </w:tbl>
    <w:p/>
    <w:p>
      <w:r>
        <w:br w:type="page"/>
      </w:r>
    </w:p>
    <w:p>
      <w:pPr>
        <w:pStyle w:val="Heading1"/>
      </w:pPr>
      <w:r>
        <w:t>7 视觉一致性与代表帧</w:t>
      </w:r>
    </w:p>
    <w:p>
      <w:r>
        <w:drawing>
          <wp:inline xmlns:a="http://schemas.openxmlformats.org/drawingml/2006/main" xmlns:pic="http://schemas.openxmlformats.org/drawingml/2006/picture">
            <wp:extent cx="6012000" cy="7899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esentative_fram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789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 — 编码端参考、q4 解码和 q7 解码的中间帧对比（四人物）</w:t>
      </w:r>
    </w:p>
    <w:p>
      <w:pPr>
        <w:spacing w:line="324" w:lineRule="auto"/>
        <w:ind w:firstLine="420"/>
      </w:pPr>
      <w:r>
        <w:t>代表帧用于直观检查姿态、轮廓、纹理和背景是否同步，不代替全 500 帧指标。全量验证逐文件名匹配 encoder/decoder JPG，计算 8 位图像空间 PSNR、灰度 SSIM 和 MAE；若帧缺失则对应工作点不会进入汇总。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人物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q4 PSNR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q5 PSNR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q6 PSNR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q7 PSNR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q7 SSIM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lbn1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34.748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34.679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32.455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24.584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0.963426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subject00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36.529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36.230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32.723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23.045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0.931308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subject02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37.073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36.815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33.955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24.376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0.947064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zzr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39.890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39.697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37.836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28.887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0.969815</w:t>
            </w:r>
          </w:p>
        </w:tc>
      </w:tr>
    </w:tbl>
    <w:p/>
    <w:p>
      <w:r>
        <w:br w:type="page"/>
      </w:r>
    </w:p>
    <w:p>
      <w:pPr>
        <w:pStyle w:val="Heading1"/>
      </w:pPr>
      <w:r>
        <w:t>8 结果分析与档位建议</w:t>
      </w:r>
    </w:p>
    <w:p>
      <w:pPr>
        <w:pStyle w:val="Heading2"/>
      </w:pPr>
      <w:r>
        <w:t>8.1 码率—质量趋势</w:t>
      </w:r>
    </w:p>
    <w:p>
      <w:pPr>
        <w:spacing w:line="324" w:lineRule="auto"/>
        <w:ind w:firstLine="420"/>
      </w:pPr>
      <w:r>
        <w:t>四个人物均呈现一致趋势：q 增大时网络码流降低、参数 MSE 与最大绝对误差增大、解码端相对参考的 PSNR/SSIM 下降。这说明批量脚本实际改变了网络量化层级，而不是重复使用同一码流。不同人物曲线存在差异，反映训练检查点分布和外观复杂度不同。</w:t>
      </w:r>
    </w:p>
    <w:p>
      <w:pPr>
        <w:pStyle w:val="Heading2"/>
      </w:pPr>
      <w:r>
        <w:t>8.2 推荐档位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档位</w:t>
            </w:r>
          </w:p>
        </w:tc>
        <w:tc>
          <w:tcPr>
            <w:tcW w:type="dxa" w:w="317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建议用途</w:t>
            </w:r>
          </w:p>
        </w:tc>
        <w:tc>
          <w:tcPr>
            <w:tcW w:type="dxa" w:w="317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取舍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q=4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归档、离线高保真、对压缩误差敏感的研究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网络码流最大，参考一致性最高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q=5（默认）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论文思路对应的常规流式传输/展示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在明显降码率的同时保持较高一致性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q=6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带宽受限点播、较长序列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进一步减小初始化网络，局部细节误差增加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q=7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快速预览、极限低码率消融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码流最小，不宜作为高质量默认值</w:t>
            </w:r>
          </w:p>
        </w:tc>
      </w:tr>
    </w:tbl>
    <w:p/>
    <w:p>
      <w:pPr>
        <w:spacing w:line="324" w:lineRule="auto"/>
        <w:ind w:firstLine="420"/>
      </w:pPr>
      <w:r>
        <w:t>默认采用 q=5 的理由不是单一阈值，而是结合四序列曲线、论文中对量化档位的设计意图以及部署可控性。实际业务应按端到端真值指标、网络缓存策略和目标带宽重新选点。</w:t>
      </w:r>
    </w:p>
    <w:p>
      <w:pPr>
        <w:pStyle w:val="Heading2"/>
      </w:pPr>
      <w:r>
        <w:t>8.3 序列长度影响</w:t>
      </w:r>
    </w:p>
    <w:p>
      <w:pPr>
        <w:spacing w:line="324" w:lineRule="auto"/>
        <w:ind w:firstLine="420"/>
      </w:pPr>
      <w:r>
        <w:t>本实验统一 500 帧，网络一次性成本被除以 500。若网络在 1000 帧会话中只发送一次，网络摊销部分约减半，而逐帧 SMPL-X、Posemap 部分近似不变；因此不同帧数报告之间不能直接比较“KiB/帧”而不说明初始化摊销方法。</w:t>
      </w:r>
    </w:p>
    <w:p>
      <w:r>
        <w:br w:type="page"/>
      </w:r>
    </w:p>
    <w:p>
      <w:pPr>
        <w:pStyle w:val="Heading1"/>
      </w:pPr>
      <w:r>
        <w:t>9 正确性检查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检查项</w:t>
            </w:r>
          </w:p>
        </w:tc>
        <w:tc>
          <w:tcPr>
            <w:tcW w:type="dxa" w:w="47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结果/规则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编码端输出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每人物 500 帧；按 q 共享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解码端输出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每工作点 500 帧；共 8,000 帧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SMPL-X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编码/解码 SHA-256 一致，属于无损子流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网络检查点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解码权重写回 avatar_net，严格载入；每点记录 MSE 与最大误差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Posemap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500 帧；I/P 帧统计和总 bpp 由 DCVC 输出；范围旁信息计入总字节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图像指标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文件名交集为 500；PSNR/SSIM/MAE 全量平均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断点续跑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已有完整阶段复用；缺失阶段重跑；不覆盖非符号链接目录</w:t>
            </w:r>
          </w:p>
        </w:tc>
      </w:tr>
    </w:tbl>
    <w:p/>
    <w:p>
      <w:pPr>
        <w:spacing w:line="324" w:lineRule="auto"/>
        <w:ind w:firstLine="420"/>
      </w:pPr>
      <w:r>
        <w:t>网络尺度表实现已修正为从 10⁻³ 到 10³ 的有限正数 logspace，避免旧实现将对数端点误传给 logspace 导致溢出。报告数据全部来自修正后当前代码，未将历史 point 目录的旧 bin 大小混入统计。</w:t>
      </w:r>
    </w:p>
    <w:p>
      <w:r>
        <w:br w:type="page"/>
      </w:r>
    </w:p>
    <w:p>
      <w:pPr>
        <w:pStyle w:val="Heading1"/>
      </w:pPr>
      <w:r>
        <w:t>10 与论文结果的关系和限制</w:t>
      </w:r>
    </w:p>
    <w:p>
      <w:pPr>
        <w:spacing w:line="324" w:lineRule="auto"/>
        <w:ind w:firstLine="420"/>
      </w:pPr>
      <w:r>
        <w:t>本实验遵循 HGC-Avatar 论文的核心分层逻辑和“其他参数固定、改变网络 q”的消融思路，但它是一组工程复现结果，而非论文表格的逐项重跑。论文相关设置包含更广的数据集、约 1000 帧评价和对采集真值的指标；本次本地完整资产为四人物、500 帧，评价重点为压缩前后附加误差。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317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本报告</w:t>
            </w:r>
          </w:p>
        </w:tc>
        <w:tc>
          <w:tcPr>
            <w:tcW w:type="dxa" w:w="317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论文主实验（概念层面）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评价对象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解码端 vs 编码端参考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重建结果 vs 数据真值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序列长度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统一 500 帧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论文相关消融描述约 1000 帧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数据覆盖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本地四个完整人物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更多 ActorsHQ/AvatarReX/THuman 序列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指标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参考 PSNR/SSIM/MAE、网络误差、分层字节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真值 PSNR/SSIM/LPIPS、码率等</w:t>
            </w:r>
          </w:p>
        </w:tc>
      </w:tr>
    </w:tbl>
    <w:p/>
    <w:p>
      <w:pPr>
        <w:spacing w:line="324" w:lineRule="auto"/>
        <w:ind w:firstLine="420"/>
      </w:pPr>
      <w:r>
        <w:t>局限包括：未重新训练模型；未对所有 DCVC rate_index 做二维网格；没有采集真值 LPIPS；运行时间受并行 GPU、共享 CPU 范围编码和磁盘负载影响，因此时间结果适合工程估计而非严格的单卡性能基准。</w:t>
      </w:r>
    </w:p>
    <w:p>
      <w:r>
        <w:br w:type="page"/>
      </w:r>
    </w:p>
    <w:p>
      <w:pPr>
        <w:pStyle w:val="Heading1"/>
      </w:pPr>
      <w:r>
        <w:t>11 产物、目录与清理策略</w:t>
      </w:r>
    </w:p>
    <w:p>
      <w:pPr>
        <w:ind w:left="454" w:right="454"/>
        <w:shd w:fill="F2F2F2"/>
      </w:pPr>
      <w:r>
        <w:rPr>
          <w:rFonts w:ascii="Consolas" w:hAnsi="Consolas" w:eastAsia="等线"/>
          <w:sz w:val="16"/>
        </w:rPr>
        <w:t>/mnt/hdd2tC/tmp/haocheng/hgc-avatar-runs/compression-matrix-20260813/</w:t>
        <w:br/>
        <w:t xml:space="preserve">  experiment_summary.json / .csv</w:t>
        <w:br/>
        <w:t xml:space="preserve">  run_metadata.json</w:t>
        <w:br/>
        <w:t xml:space="preserve">  &lt;subject&gt;/q4/   # encoder + shared SMPL/Posemap + q4 decoder</w:t>
        <w:br/>
        <w:t xml:space="preserve">  &lt;subject&gt;/q5/   # symlink shared inputs + q5 network/decoder</w:t>
        <w:br/>
        <w:t xml:space="preserve">  &lt;subject&gt;/q6/</w:t>
        <w:br/>
        <w:t xml:space="preserve">  &lt;subject&gt;/q7/</w:t>
        <w:br/>
        <w:t xml:space="preserve">  &lt;subject&gt;/experiment.log</w:t>
      </w:r>
    </w:p>
    <w:p>
      <w:pPr>
        <w:spacing w:line="324" w:lineRule="auto"/>
        <w:ind w:firstLine="420"/>
      </w:pPr>
      <w:r>
        <w:t>正式结果保留在大容量实验盘，Git 仅纳入汇总 JSON/CSV、报告、代表图和可复现脚本，不纳入原始数据、模型检查点、完整码流或数千张渲染帧。这样既能审计结果又不会使仓库膨胀。</w:t>
      </w:r>
    </w:p>
    <w:p>
      <w:pPr>
        <w:spacing w:line="324" w:lineRule="auto"/>
        <w:ind w:firstLine="420"/>
      </w:pPr>
      <w:r>
        <w:t>本轮已删除原工程下可重建的旧数据副本、debug、tmp_quant、旧 output-test、旧 pose_map_aftercompress、bins、codec_part_file 和缓存，共释放约 53GB。后续目录整理仅删除旧 test_results 等可再生中间渲染，保留原始 data、训练结果、before_compress 检查点、codec 权重、论文和运行指南。删除操作不可通过 Git 恢复。</w:t>
      </w:r>
    </w:p>
    <w:p>
      <w:r>
        <w:br w:type="page"/>
      </w:r>
    </w:p>
    <w:p>
      <w:pPr>
        <w:pStyle w:val="Heading1"/>
      </w:pPr>
      <w:r>
        <w:t>附录 A 全字段原始结果</w:t>
      </w:r>
    </w:p>
    <w:p>
      <w:pPr>
        <w:pStyle w:val="Heading2"/>
      </w:pPr>
      <w:r>
        <w:t>lbn1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</w:tblGrid>
      <w:tr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q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网络字节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SMPL 字节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Pose 视频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范围旁信息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总字节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MSE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Max err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PSNR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SSIM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MAE</w:t>
            </w:r>
          </w:p>
        </w:tc>
      </w:tr>
      <w:tr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541326070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1230342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81652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27490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542665554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1.390365e-09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9.155273e-05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34.748006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0.99151792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0.468405</w:t>
            </w:r>
          </w:p>
        </w:tc>
      </w:tr>
      <w:tr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357386366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1230342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81652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27490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358725850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4.995888e-08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3.967285e-04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34.678933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0.99143546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0.475978</w:t>
            </w:r>
          </w:p>
        </w:tc>
      </w:tr>
      <w:tr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319129210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1230342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81652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27490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320468694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1.795298e-06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2.334595e-03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32.455469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0.98796770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0.622395</w:t>
            </w:r>
          </w:p>
        </w:tc>
      </w:tr>
      <w:tr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7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254425770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1230342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81652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27490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255765254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6.451311e-05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1.393127e-02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24.584113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0.96342623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2.184611</w:t>
            </w:r>
          </w:p>
        </w:tc>
      </w:tr>
    </w:tbl>
    <w:p/>
    <w:p>
      <w:pPr>
        <w:pStyle w:val="Heading2"/>
      </w:pPr>
      <w:r>
        <w:t>subject00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</w:tblGrid>
      <w:tr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q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网络字节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SMPL 字节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Pose 视频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范围旁信息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总字节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MSE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Max err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PSNR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SSIM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MAE</w:t>
            </w:r>
          </w:p>
        </w:tc>
      </w:tr>
      <w:tr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541667998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1614722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66660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27420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543376800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1.390334e-09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9.155273e-05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36.529312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0.99117809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0.591094</w:t>
            </w:r>
          </w:p>
        </w:tc>
      </w:tr>
      <w:tr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357516066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1614722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66660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27420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359224868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4.996298e-08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3.967285e-04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36.229935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0.99082877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0.606371</w:t>
            </w:r>
          </w:p>
        </w:tc>
      </w:tr>
      <w:tr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319150850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1614722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66660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27420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320859652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1.795444e-06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2.349854e-03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32.723286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0.98277323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0.932375</w:t>
            </w:r>
          </w:p>
        </w:tc>
      </w:tr>
      <w:tr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7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254442606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1614722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66660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27420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256151408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6.451748e-05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1.393127e-02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23.045271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0.93130804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3.519956</w:t>
            </w:r>
          </w:p>
        </w:tc>
      </w:tr>
    </w:tbl>
    <w:p/>
    <w:p>
      <w:pPr>
        <w:pStyle w:val="Heading2"/>
      </w:pPr>
      <w:r>
        <w:t>subject02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</w:tblGrid>
      <w:tr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q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网络字节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SMPL 字节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Pose 视频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范围旁信息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总字节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MSE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Max err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PSNR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SSIM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MAE</w:t>
            </w:r>
          </w:p>
        </w:tc>
      </w:tr>
      <w:tr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541986930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2007559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64836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27375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544086700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1.390274e-09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9.155273e-05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37.073020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0.99314582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0.469891</w:t>
            </w:r>
          </w:p>
        </w:tc>
      </w:tr>
      <w:tr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357640338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2007559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64836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27375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359740108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4.996041e-08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3.967285e-04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36.814983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0.99293299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0.479486</w:t>
            </w:r>
          </w:p>
        </w:tc>
      </w:tr>
      <w:tr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319171634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2007559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64836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27375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321271404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1.795257e-06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2.349854e-03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33.955028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0.98802743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0.711074</w:t>
            </w:r>
          </w:p>
        </w:tc>
      </w:tr>
      <w:tr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7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254490826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2007559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64836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27375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256590596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6.451566e-05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1.393127e-02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24.376452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0.94706357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2.733685</w:t>
            </w:r>
          </w:p>
        </w:tc>
      </w:tr>
    </w:tbl>
    <w:p/>
    <w:p>
      <w:pPr>
        <w:pStyle w:val="Heading2"/>
      </w:pPr>
      <w:r>
        <w:t>zzr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</w:tblGrid>
      <w:tr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q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网络字节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SMPL 字节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Pose 视频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范围旁信息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总字节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MSE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Max err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PSNR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SSIM</w:t>
            </w:r>
          </w:p>
        </w:tc>
        <w:tc>
          <w:tcPr>
            <w:tcW w:type="dxa" w:w="86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3"/>
              </w:rPr>
              <w:t>MAE</w:t>
            </w:r>
          </w:p>
        </w:tc>
      </w:tr>
      <w:tr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541571774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1293408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90664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27485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542983331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1.390422e-09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9.155273e-05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39.890392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0.99588304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0.406901</w:t>
            </w:r>
          </w:p>
        </w:tc>
      </w:tr>
      <w:tr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357475706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1293408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90664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27485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358887263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4.995250e-08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3.967285e-04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39.696552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0.99573321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0.418843</w:t>
            </w:r>
          </w:p>
        </w:tc>
      </w:tr>
      <w:tr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319144134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1293408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90664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27485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320555691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1.795426e-06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2.349854e-03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37.836051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0.99403156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0.565628</w:t>
            </w:r>
          </w:p>
        </w:tc>
      </w:tr>
      <w:tr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7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254437026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1293408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90664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27485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255848583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6.452087e-05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1.393127e-02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28.886870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0.96981548</w:t>
            </w:r>
          </w:p>
        </w:tc>
        <w:tc>
          <w:tcPr>
            <w:tcW w:type="dxa" w:w="86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3"/>
              </w:rPr>
              <w:t>1.930610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 B 文件校验与复现实务</w:t>
      </w:r>
    </w:p>
    <w:p>
      <w:pPr>
        <w:spacing w:line="324" w:lineRule="auto"/>
        <w:ind w:firstLine="420"/>
      </w:pPr>
      <w:r>
        <w:t>机器可读结果 experiment_summary.json 是 Word 表格和曲线的唯一数值源；CSV 使用 UTF-8 with BOM 便于中文表格软件打开。建议归档时对报告、JSON、CSV 和配置计算 SHA-256，并记录当前 Git commit。</w:t>
      </w:r>
    </w:p>
    <w:p>
      <w:pPr>
        <w:ind w:left="454" w:right="454"/>
        <w:shd w:fill="F2F2F2"/>
      </w:pPr>
      <w:r>
        <w:rPr>
          <w:rFonts w:ascii="Consolas" w:hAnsi="Consolas" w:eastAsia="等线"/>
          <w:sz w:val="16"/>
        </w:rPr>
        <w:t>sha256sum experiment_summary.json experiment_summary.csv</w:t>
        <w:br/>
        <w:t>git rev-parse HEAD</w:t>
        <w:br/>
        <w:t># 若某阶段中断，重复执行同一批量命令即可续跑</w:t>
        <w:br/>
        <w:t>python scripts/run_compression_matrix.py --jobs 4</w:t>
      </w:r>
    </w:p>
    <w:p>
      <w:pPr>
        <w:spacing w:line="324" w:lineRule="auto"/>
        <w:ind w:firstLine="420"/>
      </w:pPr>
      <w:r>
        <w:t>本报告生成时间：2026-08-13 17:03:59（Asia/Shanghai）。结果根目录：/mnt/hdd2tC/tmp/haocheng/hgc-avatar-runs/compression-matrix-20260813。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— </w:t>
    </w:r>
    <w:r>
      <w:fldChar w:fldCharType="begin"/>
      <w:instrText xml:space="preserve">PAGE</w:instrText>
      <w:fldChar w:fldCharType="separate"/>
      <w:fldChar w:fldCharType="end"/>
    </w:r>
    <w: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HGC-Avatar 多数据集分层压缩实验报告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HGC-Avatar 多数据集分层压缩实验报告</dc:title>
  <dc:subject>AvatarReX 与 THuman4.0 的 q=4/5/6/7 端到端实验</dc:subject>
  <dc:creator>HGC-Avatar 项目</dc:creator>
  <cp:keywords>HGC-Avatar,压缩实验,AvatarReX,THuman4.0,中文报告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