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29CC73" w14:textId="77777777" w:rsidR="00C31162" w:rsidRPr="00770506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 w:rsidRPr="00770506">
        <w:rPr>
          <w:rFonts w:ascii="Times New Roman" w:eastAsia="宋体" w:hAnsi="Times New Roman" w:cs="Times New Roman"/>
          <w:b/>
          <w:kern w:val="0"/>
          <w:sz w:val="21"/>
          <w:szCs w:val="21"/>
        </w:rPr>
        <w:t>FIGURE LEGENDS</w:t>
      </w:r>
    </w:p>
    <w:p w14:paraId="14952315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t xml:space="preserve">Figure 1: </w:t>
      </w:r>
      <w:commentRangeStart w:id="0"/>
      <w:r w:rsidRPr="00770506">
        <w:rPr>
          <w:rFonts w:ascii="Times New Roman" w:eastAsia="宋体" w:hAnsi="Times New Roman" w:cs="Times New Roman"/>
          <w:kern w:val="0"/>
          <w:sz w:val="21"/>
          <w:szCs w:val="21"/>
        </w:rPr>
        <w:t>Cohort Design Flow</w:t>
      </w:r>
      <w:commentRangeEnd w:id="0"/>
      <w:r w:rsidR="005D5212">
        <w:rPr>
          <w:rStyle w:val="CommentReference"/>
        </w:rPr>
        <w:commentReference w:id="0"/>
      </w:r>
    </w:p>
    <w:p w14:paraId="386FA529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kern w:val="0"/>
          <w:sz w:val="21"/>
          <w:szCs w:val="21"/>
        </w:rPr>
        <w:t>Figure 1A</w:t>
      </w:r>
    </w:p>
    <w:p w14:paraId="2E1FE924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 w:rsidRPr="00770506">
        <w:rPr>
          <w:noProof/>
        </w:rPr>
        <w:drawing>
          <wp:inline distT="0" distB="0" distL="0" distR="0" wp14:anchorId="44B7AF08" wp14:editId="55C29388">
            <wp:extent cx="5486400" cy="3336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DC5A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br w:type="page"/>
      </w:r>
    </w:p>
    <w:p w14:paraId="41F52D1B" w14:textId="77777777" w:rsidR="00C31162" w:rsidRPr="00DE37D8" w:rsidRDefault="00C31162" w:rsidP="00C31162">
      <w:pPr>
        <w:widowControl/>
        <w:rPr>
          <w:rFonts w:ascii="Times New Roman" w:eastAsia="宋体" w:hAnsi="Times New Roman" w:cs="Times New Roman"/>
          <w:kern w:val="0"/>
          <w:sz w:val="21"/>
          <w:szCs w:val="21"/>
        </w:rPr>
      </w:pPr>
      <w:commentRangeStart w:id="1"/>
      <w:r w:rsidRPr="00DE37D8">
        <w:rPr>
          <w:rFonts w:ascii="Times New Roman" w:eastAsia="宋体" w:hAnsi="Times New Roman" w:cs="Times New Roman"/>
          <w:kern w:val="0"/>
          <w:sz w:val="21"/>
          <w:szCs w:val="21"/>
        </w:rPr>
        <w:lastRenderedPageBreak/>
        <w:t>Figure 1</w:t>
      </w:r>
      <w:r w:rsidRPr="00DE37D8">
        <w:rPr>
          <w:rFonts w:ascii="Times New Roman" w:eastAsia="宋体" w:hAnsi="Times New Roman" w:cs="Times New Roman" w:hint="eastAsia"/>
          <w:kern w:val="0"/>
          <w:sz w:val="21"/>
          <w:szCs w:val="21"/>
        </w:rPr>
        <w:t>B</w:t>
      </w:r>
      <w:commentRangeEnd w:id="1"/>
      <w:r w:rsidR="005D5212">
        <w:rPr>
          <w:rStyle w:val="CommentReference"/>
        </w:rPr>
        <w:commentReference w:id="1"/>
      </w:r>
    </w:p>
    <w:p w14:paraId="75D0386D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noProof/>
          <w:kern w:val="0"/>
          <w:sz w:val="21"/>
          <w:szCs w:val="21"/>
        </w:rPr>
        <w:drawing>
          <wp:inline distT="0" distB="0" distL="0" distR="0" wp14:anchorId="24A2A924" wp14:editId="0F3F90AA">
            <wp:extent cx="5276850" cy="3531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/Design%20Fl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86" cy="35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A2B6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br w:type="page"/>
      </w:r>
    </w:p>
    <w:p w14:paraId="4F9BF65C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commentRangeStart w:id="2"/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lastRenderedPageBreak/>
        <w:t>Figure 2</w:t>
      </w:r>
      <w:commentRangeEnd w:id="2"/>
      <w:r w:rsidR="005D5212">
        <w:rPr>
          <w:rStyle w:val="CommentReference"/>
        </w:rPr>
        <w:commentReference w:id="2"/>
      </w:r>
    </w:p>
    <w:p w14:paraId="2D4703E3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noProof/>
          <w:kern w:val="0"/>
          <w:sz w:val="21"/>
          <w:szCs w:val="21"/>
        </w:rPr>
        <w:drawing>
          <wp:inline distT="0" distB="0" distL="0" distR="0" wp14:anchorId="149D8148" wp14:editId="7975717B">
            <wp:extent cx="5486400" cy="39065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yout 1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D47D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br w:type="page"/>
      </w:r>
    </w:p>
    <w:p w14:paraId="22207BA8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lastRenderedPageBreak/>
        <w:t>Figure 3:</w:t>
      </w:r>
      <w:r w:rsidRPr="00770506">
        <w:rPr>
          <w:rFonts w:ascii="Times New Roman" w:eastAsia="宋体" w:hAnsi="Times New Roman" w:cs="Times New Roman"/>
          <w:kern w:val="0"/>
          <w:sz w:val="21"/>
          <w:szCs w:val="21"/>
        </w:rPr>
        <w:t xml:space="preserve"> </w:t>
      </w:r>
      <w:commentRangeStart w:id="3"/>
      <w:r w:rsidRPr="00770506">
        <w:rPr>
          <w:rFonts w:ascii="Times New Roman" w:eastAsia="宋体" w:hAnsi="Times New Roman" w:cs="Times New Roman"/>
          <w:kern w:val="0"/>
          <w:sz w:val="21"/>
          <w:szCs w:val="21"/>
        </w:rPr>
        <w:t xml:space="preserve">ROC comparison </w:t>
      </w:r>
      <w:r w:rsidRPr="00770506">
        <w:rPr>
          <w:rFonts w:ascii="Times New Roman" w:eastAsia="宋体" w:hAnsi="Times New Roman" w:cs="Times New Roman" w:hint="eastAsia"/>
          <w:kern w:val="0"/>
          <w:sz w:val="21"/>
          <w:szCs w:val="21"/>
        </w:rPr>
        <w:t xml:space="preserve">between LCBP </w:t>
      </w:r>
      <w:r w:rsidRPr="00770506">
        <w:rPr>
          <w:rFonts w:ascii="Times New Roman" w:eastAsia="宋体" w:hAnsi="Times New Roman" w:cs="Times New Roman"/>
          <w:kern w:val="0"/>
          <w:sz w:val="21"/>
          <w:szCs w:val="21"/>
        </w:rPr>
        <w:t>and ACCP lung nodule model</w:t>
      </w:r>
      <w:commentRangeEnd w:id="3"/>
      <w:r w:rsidR="005D5212">
        <w:rPr>
          <w:rStyle w:val="CommentReference"/>
        </w:rPr>
        <w:commentReference w:id="3"/>
      </w:r>
    </w:p>
    <w:p w14:paraId="53349101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commentRangeStart w:id="4"/>
      <w:r>
        <w:rPr>
          <w:rFonts w:ascii="Times New Roman" w:eastAsia="宋体" w:hAnsi="Times New Roman" w:cs="Times New Roman"/>
          <w:kern w:val="0"/>
          <w:sz w:val="21"/>
          <w:szCs w:val="21"/>
        </w:rPr>
        <w:t>Figure 3</w:t>
      </w:r>
      <w:commentRangeEnd w:id="4"/>
      <w:r w:rsidR="0090714A">
        <w:rPr>
          <w:rStyle w:val="CommentReference"/>
        </w:rPr>
        <w:commentReference w:id="4"/>
      </w:r>
    </w:p>
    <w:p w14:paraId="22ABBD50" w14:textId="77777777" w:rsidR="00C31162" w:rsidRDefault="00C31162" w:rsidP="00C3116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noProof/>
          <w:kern w:val="0"/>
          <w:sz w:val="21"/>
          <w:szCs w:val="21"/>
        </w:rPr>
        <w:drawing>
          <wp:inline distT="0" distB="0" distL="0" distR="0" wp14:anchorId="298F8315" wp14:editId="01A478CD">
            <wp:extent cx="4907280" cy="4660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P vs LCBP training set.tif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4" b="14644"/>
                    <a:stretch/>
                  </pic:blipFill>
                  <pic:spPr bwMode="auto">
                    <a:xfrm>
                      <a:off x="0" y="0"/>
                      <a:ext cx="4907280" cy="466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318A79C2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br w:type="page"/>
      </w:r>
    </w:p>
    <w:p w14:paraId="286DDD32" w14:textId="77777777" w:rsidR="00C31162" w:rsidRDefault="00C31162" w:rsidP="00C31162">
      <w:pPr>
        <w:widowControl/>
        <w:rPr>
          <w:rFonts w:ascii="Times New Roman" w:eastAsia="宋体" w:hAnsi="Times New Roman" w:cs="Times New Roman"/>
          <w:b/>
          <w:kern w:val="0"/>
          <w:sz w:val="21"/>
          <w:szCs w:val="21"/>
        </w:rPr>
      </w:pPr>
      <w:commentRangeStart w:id="6"/>
      <w:r>
        <w:rPr>
          <w:rFonts w:ascii="Times New Roman" w:eastAsia="宋体" w:hAnsi="Times New Roman" w:cs="Times New Roman"/>
          <w:b/>
          <w:kern w:val="0"/>
          <w:sz w:val="21"/>
          <w:szCs w:val="21"/>
        </w:rPr>
        <w:lastRenderedPageBreak/>
        <w:t xml:space="preserve">Figure 4: </w:t>
      </w:r>
      <w:commentRangeEnd w:id="6"/>
      <w:r w:rsidR="005D5212">
        <w:rPr>
          <w:rStyle w:val="CommentReference"/>
        </w:rPr>
        <w:commentReference w:id="6"/>
      </w:r>
      <w:r w:rsidRPr="00AD7873">
        <w:rPr>
          <w:rFonts w:ascii="Times New Roman" w:eastAsia="宋体" w:hAnsi="Times New Roman" w:cs="Times New Roman"/>
          <w:kern w:val="0"/>
          <w:sz w:val="21"/>
          <w:szCs w:val="21"/>
        </w:rPr>
        <w:t xml:space="preserve">Comparison of </w:t>
      </w:r>
      <w:r>
        <w:rPr>
          <w:rFonts w:ascii="Times New Roman" w:eastAsia="宋体" w:hAnsi="Times New Roman" w:cs="Times New Roman"/>
          <w:kern w:val="0"/>
          <w:sz w:val="21"/>
          <w:szCs w:val="21"/>
        </w:rPr>
        <w:t xml:space="preserve">diagnostic efficacy of </w:t>
      </w:r>
      <w:r w:rsidRPr="00770506">
        <w:rPr>
          <w:rFonts w:ascii="Times New Roman" w:eastAsia="宋体" w:hAnsi="Times New Roman" w:cs="Times New Roman" w:hint="eastAsia"/>
          <w:kern w:val="0"/>
          <w:sz w:val="21"/>
          <w:szCs w:val="21"/>
        </w:rPr>
        <w:t xml:space="preserve">LCBP </w:t>
      </w:r>
      <w:r>
        <w:rPr>
          <w:rFonts w:ascii="Times New Roman" w:eastAsia="宋体" w:hAnsi="Times New Roman" w:cs="Times New Roman"/>
          <w:kern w:val="0"/>
          <w:sz w:val="21"/>
          <w:szCs w:val="21"/>
        </w:rPr>
        <w:t>vs. ACCP on high risk stratification of lung nodule patients</w:t>
      </w:r>
    </w:p>
    <w:p w14:paraId="19CB9937" w14:textId="77777777" w:rsidR="00C31162" w:rsidRPr="00AD7873" w:rsidRDefault="00C31162" w:rsidP="00C31162">
      <w:pPr>
        <w:widowControl/>
        <w:rPr>
          <w:rFonts w:ascii="Times New Roman" w:eastAsia="宋体" w:hAnsi="Times New Roman" w:cs="Times New Roman"/>
          <w:kern w:val="0"/>
          <w:sz w:val="21"/>
          <w:szCs w:val="21"/>
        </w:rPr>
      </w:pPr>
      <w:r>
        <w:rPr>
          <w:rFonts w:ascii="Times New Roman" w:eastAsia="宋体" w:hAnsi="Times New Roman" w:cs="Times New Roman"/>
          <w:kern w:val="0"/>
          <w:sz w:val="21"/>
          <w:szCs w:val="21"/>
        </w:rPr>
        <w:t>Figure 4</w:t>
      </w:r>
    </w:p>
    <w:p w14:paraId="32C1827C" w14:textId="77777777" w:rsidR="00B5675F" w:rsidRDefault="00C31162" w:rsidP="00C31162">
      <w:r w:rsidRPr="00AD7873">
        <w:rPr>
          <w:rFonts w:ascii="Times New Roman" w:eastAsia="宋体" w:hAnsi="Times New Roman" w:cs="Times New Roman"/>
          <w:b/>
          <w:noProof/>
          <w:kern w:val="0"/>
          <w:sz w:val="21"/>
          <w:szCs w:val="21"/>
        </w:rPr>
        <w:drawing>
          <wp:inline distT="0" distB="0" distL="0" distR="0" wp14:anchorId="1DBAFE7B" wp14:editId="29C17C65">
            <wp:extent cx="5486400" cy="3545840"/>
            <wp:effectExtent l="0" t="0" r="25400" b="3556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B56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ooper Kwok" w:date="2016-02-20T15:34:00Z" w:initials="LK">
    <w:p w14:paraId="3C2984B1" w14:textId="77777777" w:rsidR="005D5212" w:rsidRDefault="005D521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建议</w:t>
      </w:r>
      <w:r>
        <w:t>将本图</w:t>
      </w:r>
      <w:r>
        <w:rPr>
          <w:rFonts w:hint="eastAsia"/>
        </w:rPr>
        <w:t>分别</w:t>
      </w:r>
      <w:r>
        <w:t>按照训练集和验证集两个部分进行绘制</w:t>
      </w:r>
    </w:p>
  </w:comment>
  <w:comment w:id="1" w:author="Looper Kwok" w:date="2016-02-20T15:35:00Z" w:initials="LK">
    <w:p w14:paraId="1FD4617B" w14:textId="77777777" w:rsidR="005D5212" w:rsidRDefault="005D521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请</w:t>
      </w:r>
      <w:r>
        <w:t>对本图的内容进行描述</w:t>
      </w:r>
    </w:p>
  </w:comment>
  <w:comment w:id="2" w:author="Looper Kwok" w:date="2016-02-20T15:35:00Z" w:initials="LK">
    <w:p w14:paraId="31AC63BB" w14:textId="77777777" w:rsidR="005D5212" w:rsidRDefault="005D521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请添加</w:t>
      </w:r>
      <w:r>
        <w:t>本图的图注，并对各个统计学差异符号进行解释</w:t>
      </w:r>
    </w:p>
  </w:comment>
  <w:comment w:id="3" w:author="Looper Kwok" w:date="2016-02-20T15:36:00Z" w:initials="LK">
    <w:p w14:paraId="3D7AD1AE" w14:textId="77777777" w:rsidR="005D5212" w:rsidRPr="004F652A" w:rsidRDefault="005D5212">
      <w:pPr>
        <w:pStyle w:val="CommentText"/>
        <w:rPr>
          <w:color w:val="FF0000"/>
        </w:rPr>
      </w:pPr>
      <w:r w:rsidRPr="004F652A">
        <w:rPr>
          <w:rStyle w:val="CommentReference"/>
          <w:color w:val="FF0000"/>
        </w:rPr>
        <w:annotationRef/>
      </w:r>
      <w:r w:rsidRPr="004F652A">
        <w:rPr>
          <w:rFonts w:hint="eastAsia"/>
          <w:color w:val="FF0000"/>
        </w:rPr>
        <w:t>请将</w:t>
      </w:r>
      <w:r w:rsidRPr="004F652A">
        <w:rPr>
          <w:color w:val="FF0000"/>
        </w:rPr>
        <w:t>本</w:t>
      </w:r>
      <w:r w:rsidRPr="004F652A">
        <w:rPr>
          <w:rFonts w:hint="eastAsia"/>
          <w:color w:val="FF0000"/>
        </w:rPr>
        <w:t>图</w:t>
      </w:r>
      <w:r w:rsidRPr="004F652A">
        <w:rPr>
          <w:color w:val="FF0000"/>
        </w:rPr>
        <w:t>的统计方法、统计的人群</w:t>
      </w:r>
      <w:r w:rsidRPr="004F652A">
        <w:rPr>
          <w:rFonts w:hint="eastAsia"/>
          <w:color w:val="FF0000"/>
        </w:rPr>
        <w:t>及</w:t>
      </w:r>
      <w:r w:rsidRPr="004F652A">
        <w:rPr>
          <w:color w:val="FF0000"/>
        </w:rPr>
        <w:t>详细结果进行描述</w:t>
      </w:r>
    </w:p>
  </w:comment>
  <w:comment w:id="4" w:author="Li, Shechang [MEDCN]" w:date="2016-03-03T09:57:00Z" w:initials="LSC">
    <w:p w14:paraId="6431F6F2" w14:textId="6DAFA585" w:rsidR="0090714A" w:rsidRDefault="0090714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这个图的</w:t>
      </w:r>
      <w:r>
        <w:rPr>
          <w:rFonts w:hint="eastAsia"/>
        </w:rPr>
        <w:t>program</w:t>
      </w:r>
      <w:r>
        <w:rPr>
          <w:rFonts w:hint="eastAsia"/>
        </w:rPr>
        <w:t>我忘记放在哪里了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study folder</w:t>
      </w:r>
      <w:r>
        <w:rPr>
          <w:rFonts w:hint="eastAsia"/>
        </w:rPr>
        <w:t>里面没找到</w:t>
      </w:r>
      <w:r>
        <w:rPr>
          <w:rFonts w:hint="eastAsia"/>
        </w:rPr>
        <w:t>.</w:t>
      </w:r>
      <w:r>
        <w:rPr>
          <w:rFonts w:hint="eastAsia"/>
        </w:rPr>
        <w:t>但我记得思路是把我们的</w:t>
      </w:r>
      <w:r>
        <w:rPr>
          <w:rFonts w:hint="eastAsia"/>
        </w:rPr>
        <w:t>test</w:t>
      </w:r>
      <w:r>
        <w:rPr>
          <w:rFonts w:hint="eastAsia"/>
        </w:rPr>
        <w:t>人群分别用我们的模型和</w:t>
      </w:r>
      <w:r>
        <w:rPr>
          <w:rFonts w:hint="eastAsia"/>
        </w:rPr>
        <w:t>ACCP</w:t>
      </w:r>
      <w:r>
        <w:rPr>
          <w:rFonts w:hint="eastAsia"/>
        </w:rPr>
        <w:t>的模型计算出来风险概率</w:t>
      </w:r>
      <w:r>
        <w:rPr>
          <w:rFonts w:hint="eastAsia"/>
        </w:rPr>
        <w:t>,</w:t>
      </w:r>
      <w:r>
        <w:rPr>
          <w:rFonts w:hint="eastAsia"/>
        </w:rPr>
        <w:t>然后把两个曲线画到一张</w:t>
      </w:r>
      <w:r>
        <w:rPr>
          <w:rFonts w:hint="eastAsia"/>
        </w:rPr>
        <w:t>ROC</w:t>
      </w:r>
      <w:r>
        <w:rPr>
          <w:rFonts w:hint="eastAsia"/>
        </w:rPr>
        <w:t>图上</w:t>
      </w:r>
      <w:r>
        <w:rPr>
          <w:rFonts w:hint="eastAsia"/>
        </w:rPr>
        <w:t>.</w:t>
      </w:r>
      <w:r>
        <w:rPr>
          <w:rFonts w:hint="eastAsia"/>
        </w:rPr>
        <w:t>比较两者</w:t>
      </w:r>
      <w:r>
        <w:rPr>
          <w:rFonts w:hint="eastAsia"/>
        </w:rPr>
        <w:t>ROC</w:t>
      </w:r>
      <w:r>
        <w:rPr>
          <w:rFonts w:hint="eastAsia"/>
        </w:rPr>
        <w:t>曲线下面积</w:t>
      </w:r>
      <w:r>
        <w:rPr>
          <w:rFonts w:hint="eastAsia"/>
        </w:rPr>
        <w:t>.AUC</w:t>
      </w:r>
      <w:r>
        <w:rPr>
          <w:rFonts w:hint="eastAsia"/>
        </w:rPr>
        <w:t>更大的效果更好</w:t>
      </w:r>
      <w:r>
        <w:rPr>
          <w:rFonts w:hint="eastAsia"/>
        </w:rPr>
        <w:t>.</w:t>
      </w:r>
    </w:p>
  </w:comment>
  <w:comment w:id="6" w:author="Looper Kwok" w:date="2016-02-20T15:36:00Z" w:initials="LK">
    <w:p w14:paraId="2BCAC466" w14:textId="77777777" w:rsidR="005D5212" w:rsidRDefault="005D521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本图</w:t>
      </w:r>
      <w:r>
        <w:t>建议以表格的方式进行展示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2984B1" w15:done="0"/>
  <w15:commentEx w15:paraId="1FD4617B" w15:done="0"/>
  <w15:commentEx w15:paraId="31AC63BB" w15:done="0"/>
  <w15:commentEx w15:paraId="3D7AD1AE" w15:done="0"/>
  <w15:commentEx w15:paraId="2BCAC46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35DCDE" w14:textId="77777777" w:rsidR="005954D8" w:rsidRDefault="005954D8" w:rsidP="00C31162">
      <w:r>
        <w:separator/>
      </w:r>
    </w:p>
  </w:endnote>
  <w:endnote w:type="continuationSeparator" w:id="0">
    <w:p w14:paraId="27CD66ED" w14:textId="77777777" w:rsidR="005954D8" w:rsidRDefault="005954D8" w:rsidP="00C31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9F6C23" w14:textId="77777777" w:rsidR="005954D8" w:rsidRDefault="005954D8" w:rsidP="00C31162">
      <w:r>
        <w:separator/>
      </w:r>
    </w:p>
  </w:footnote>
  <w:footnote w:type="continuationSeparator" w:id="0">
    <w:p w14:paraId="0118D530" w14:textId="77777777" w:rsidR="005954D8" w:rsidRDefault="005954D8" w:rsidP="00C31162">
      <w:r>
        <w:continuationSeparator/>
      </w:r>
    </w:p>
  </w:footnote>
</w:footnotes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ooper Kwok">
    <w15:presenceInfo w15:providerId="Windows Live" w15:userId="c725beb6cc8b8f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41E"/>
    <w:rsid w:val="004F652A"/>
    <w:rsid w:val="005954D8"/>
    <w:rsid w:val="005D5212"/>
    <w:rsid w:val="006827B6"/>
    <w:rsid w:val="00792BCF"/>
    <w:rsid w:val="00810E1C"/>
    <w:rsid w:val="0090714A"/>
    <w:rsid w:val="00B5675F"/>
    <w:rsid w:val="00BB5587"/>
    <w:rsid w:val="00C31162"/>
    <w:rsid w:val="00E86215"/>
    <w:rsid w:val="00FA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786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62"/>
    <w:pPr>
      <w:widowControl w:val="0"/>
      <w:jc w:val="both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1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311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311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31162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86215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621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6215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62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6215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21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2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62"/>
    <w:pPr>
      <w:widowControl w:val="0"/>
      <w:jc w:val="both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1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311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311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31162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86215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621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6215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62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6215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21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2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chart" Target="charts/chart1.xml"/><Relationship Id="rId2" Type="http://schemas.microsoft.com/office/2007/relationships/stylesWithEffects" Target="stylesWithEffect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DVD_XBOX:2014ISRD:Abott&#21457;&#24067;&#20250;:&#26124;&#21733;&#25968;&#25454;:Tables%20&amp;%20Figu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敏特总结!$P$7</c:f>
              <c:strCache>
                <c:ptCount val="1"/>
                <c:pt idx="0">
                  <c:v>Accuracy</c:v>
                </c:pt>
              </c:strCache>
            </c:strRef>
          </c:tx>
          <c:invertIfNegative val="0"/>
          <c:cat>
            <c:strRef>
              <c:f>敏特总结!$O$8:$O$12</c:f>
              <c:strCache>
                <c:ptCount val="5"/>
                <c:pt idx="0">
                  <c:v>ACCP</c:v>
                </c:pt>
                <c:pt idx="1">
                  <c:v>Nodule (Clinical+Biomarker)</c:v>
                </c:pt>
                <c:pt idx="2">
                  <c:v>Nodule (Clinical+Biomarker+CT)</c:v>
                </c:pt>
                <c:pt idx="3">
                  <c:v>High Risk (Clinical+Biomarker)</c:v>
                </c:pt>
                <c:pt idx="4">
                  <c:v>High Risk (Clinical+Biomarker+CT)</c:v>
                </c:pt>
              </c:strCache>
            </c:strRef>
          </c:cat>
          <c:val>
            <c:numRef>
              <c:f>敏特总结!$P$8:$P$12</c:f>
              <c:numCache>
                <c:formatCode>0.0%</c:formatCode>
                <c:ptCount val="5"/>
                <c:pt idx="0">
                  <c:v>0.626</c:v>
                </c:pt>
                <c:pt idx="1">
                  <c:v>0.67</c:v>
                </c:pt>
                <c:pt idx="2">
                  <c:v>0.82799999999999996</c:v>
                </c:pt>
                <c:pt idx="3">
                  <c:v>0.62</c:v>
                </c:pt>
                <c:pt idx="4">
                  <c:v>0.86299999999999999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F22-42EC-9E0B-D20A28C65C39}"/>
            </c:ext>
          </c:extLst>
        </c:ser>
        <c:ser>
          <c:idx val="1"/>
          <c:order val="1"/>
          <c:tx>
            <c:strRef>
              <c:f>敏特总结!$Q$7</c:f>
              <c:strCache>
                <c:ptCount val="1"/>
                <c:pt idx="0">
                  <c:v>Sensitivity</c:v>
                </c:pt>
              </c:strCache>
            </c:strRef>
          </c:tx>
          <c:invertIfNegative val="0"/>
          <c:cat>
            <c:strRef>
              <c:f>敏特总结!$O$8:$O$12</c:f>
              <c:strCache>
                <c:ptCount val="5"/>
                <c:pt idx="0">
                  <c:v>ACCP</c:v>
                </c:pt>
                <c:pt idx="1">
                  <c:v>Nodule (Clinical+Biomarker)</c:v>
                </c:pt>
                <c:pt idx="2">
                  <c:v>Nodule (Clinical+Biomarker+CT)</c:v>
                </c:pt>
                <c:pt idx="3">
                  <c:v>High Risk (Clinical+Biomarker)</c:v>
                </c:pt>
                <c:pt idx="4">
                  <c:v>High Risk (Clinical+Biomarker+CT)</c:v>
                </c:pt>
              </c:strCache>
            </c:strRef>
          </c:cat>
          <c:val>
            <c:numRef>
              <c:f>敏特总结!$Q$8:$Q$12</c:f>
              <c:numCache>
                <c:formatCode>0.0%</c:formatCode>
                <c:ptCount val="5"/>
                <c:pt idx="0">
                  <c:v>0.46800000000000003</c:v>
                </c:pt>
                <c:pt idx="1">
                  <c:v>0.66200000000000003</c:v>
                </c:pt>
                <c:pt idx="2">
                  <c:v>0.83799999999999997</c:v>
                </c:pt>
                <c:pt idx="3">
                  <c:v>0.65600000000000003</c:v>
                </c:pt>
                <c:pt idx="4">
                  <c:v>0.80200000000000005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F22-42EC-9E0B-D20A28C65C39}"/>
            </c:ext>
          </c:extLst>
        </c:ser>
        <c:ser>
          <c:idx val="2"/>
          <c:order val="2"/>
          <c:tx>
            <c:strRef>
              <c:f>敏特总结!$R$7</c:f>
              <c:strCache>
                <c:ptCount val="1"/>
                <c:pt idx="0">
                  <c:v>Specificity</c:v>
                </c:pt>
              </c:strCache>
            </c:strRef>
          </c:tx>
          <c:invertIfNegative val="0"/>
          <c:cat>
            <c:strRef>
              <c:f>敏特总结!$O$8:$O$12</c:f>
              <c:strCache>
                <c:ptCount val="5"/>
                <c:pt idx="0">
                  <c:v>ACCP</c:v>
                </c:pt>
                <c:pt idx="1">
                  <c:v>Nodule (Clinical+Biomarker)</c:v>
                </c:pt>
                <c:pt idx="2">
                  <c:v>Nodule (Clinical+Biomarker+CT)</c:v>
                </c:pt>
                <c:pt idx="3">
                  <c:v>High Risk (Clinical+Biomarker)</c:v>
                </c:pt>
                <c:pt idx="4">
                  <c:v>High Risk (Clinical+Biomarker+CT)</c:v>
                </c:pt>
              </c:strCache>
            </c:strRef>
          </c:cat>
          <c:val>
            <c:numRef>
              <c:f>敏特总结!$R$8:$R$12</c:f>
              <c:numCache>
                <c:formatCode>0.0%</c:formatCode>
                <c:ptCount val="5"/>
                <c:pt idx="0">
                  <c:v>0.96199999999999997</c:v>
                </c:pt>
                <c:pt idx="1">
                  <c:v>0.68500000000000005</c:v>
                </c:pt>
                <c:pt idx="2">
                  <c:v>0.80800000000000005</c:v>
                </c:pt>
                <c:pt idx="3">
                  <c:v>0.59599999999999997</c:v>
                </c:pt>
                <c:pt idx="4">
                  <c:v>0.91500000000000004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F22-42EC-9E0B-D20A28C65C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99881344"/>
        <c:axId val="99882880"/>
      </c:barChart>
      <c:catAx>
        <c:axId val="9988134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99882880"/>
        <c:crosses val="autoZero"/>
        <c:auto val="1"/>
        <c:lblAlgn val="ctr"/>
        <c:lblOffset val="100"/>
        <c:noMultiLvlLbl val="0"/>
      </c:catAx>
      <c:valAx>
        <c:axId val="99882880"/>
        <c:scaling>
          <c:orientation val="minMax"/>
          <c:max val="1"/>
        </c:scaling>
        <c:delete val="0"/>
        <c:axPos val="l"/>
        <c:majorGridlines>
          <c:spPr>
            <a:ln>
              <a:noFill/>
            </a:ln>
          </c:spPr>
        </c:majorGridlines>
        <c:numFmt formatCode="0.0%" sourceLinked="1"/>
        <c:majorTickMark val="out"/>
        <c:minorTickMark val="none"/>
        <c:tickLblPos val="nextTo"/>
        <c:crossAx val="99881344"/>
        <c:crosses val="autoZero"/>
        <c:crossBetween val="between"/>
        <c:majorUnit val="0.25"/>
        <c:minorUnit val="0.0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43</Words>
  <Characters>250</Characters>
  <Application>Microsoft Office Word</Application>
  <DocSecurity>0</DocSecurity>
  <Lines>2</Lines>
  <Paragraphs>1</Paragraphs>
  <ScaleCrop>false</ScaleCrop>
  <Company>微软中国</Company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Looper Kwok</dc:creator>
  <cp:keywords/>
  <dc:description/>
  <cp:lastModifiedBy>Li, Shechang [MEDCN]</cp:lastModifiedBy>
  <cp:revision>3</cp:revision>
  <dcterms:created xsi:type="dcterms:W3CDTF">2016-02-22T15:00:00Z</dcterms:created>
  <dcterms:modified xsi:type="dcterms:W3CDTF">2016-03-03T01:57:00Z</dcterms:modified>
</cp:coreProperties>
</file>