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إجمالي واردات السوق (TAM)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نمو الواردات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معدل النمو السنوي المركّب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تركّز الموردين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حصة المورّد الأكبر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إيران</w:t>
            </w:r>
          </w:p>
        </w:tc>
      </w:tr>
      <w:tr>
        <w:tc>
          <w:tcPr>
            <w:tcW w:type="dxa" w:w="2160"/>
          </w:tcPr>
          <w:p>
            <w:r>
              <w:t>الحصة السعودية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متوسط سعر الوحدة عند الحدود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سعر الوحدة السعودي عند الحدود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الهامش عند الحدود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</w:pPr>
      <w: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دخول مشروط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</w:pPr>
      <w: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