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سِلك — تقرير سوق: تمور</w:t>
      </w:r>
    </w:p>
    <w:p>
      <w:r>
        <w:t>⚠ TEST RUN — تشغيل برهاني ببدائل موسومة (SILK_HERMETIC)، ليس تقريراً إنتاجياً</w:t>
      </w:r>
    </w:p>
    <w:p>
      <w:r>
        <w:t>المنتج: تمور | HS: 080410 | المنشأ: السعودية | السوق المستهدف: China | التاريخ: 2026-07-08 | تغطية البيانات الإجمالية: 57.1%</w:t>
      </w:r>
    </w:p>
    <w:p>
      <w:pPr>
        <w:pStyle w:val="Heading1"/>
      </w:pPr>
      <w:r>
        <w:t>الخلاصة التنفيذية</w:t>
      </w:r>
    </w:p>
    <w:p>
      <w:r>
        <w:t>التوصية: CONDITIONAL-GO في سوق China، بثقة 31% استناداً إلى 0.8 نقطة من 100 في تقييم الجاذبية المرجّح.</w:t>
      </w:r>
    </w:p>
    <w:p>
      <w:r>
        <w:t>السبب التجاري: score 0.636 في النطاق الشرطي أو الثقة 0.31 دون 0.6 أو شروط مفتوحة (3).</w:t>
      </w:r>
    </w:p>
    <w:p>
      <w:r>
        <w:t>أهم ما ينقص للتأكّد من هذه التوصية: China: demand_capacity missing (no income/population signal).</w:t>
      </w:r>
    </w:p>
    <w:p>
      <w:r>
        <w:t>بوابة كفاية البيانات: 0/3 وكلاء أساسيون لديهم بيانات؛ فجوات: TradeFlowAgent، EconomicAgent، CompetitionAgent</w:t>
      </w:r>
    </w:p>
    <w:p>
      <w:r>
        <w:t>رمز HS: 080410 (ثقة التصنيف 1.0) | سنة البيانات: 2023 | النتيجة أوّلية لا نهائية.</w:t>
      </w:r>
    </w:p>
    <w:p>
      <w:pPr>
        <w:pStyle w:val="Heading1"/>
      </w:pPr>
      <w:r>
        <w:t>منهجية البحث</w:t>
      </w:r>
    </w:p>
    <w:p>
      <w:pPr>
        <w:pStyle w:val="ListBullet"/>
      </w:pPr>
      <w:r>
        <w:t>سنة البيانات المعتمدة: 2023.</w:t>
      </w:r>
    </w:p>
    <w:p>
      <w:pPr>
        <w:pStyle w:val="ListBullet"/>
      </w:pPr>
      <w:r>
        <w:t>تغطية البيانات الإجمالية لهذا التحليل: 57.1%.</w:t>
      </w:r>
    </w:p>
    <w:p>
      <w:pPr>
        <w:pStyle w:val="ListBullet"/>
      </w:pPr>
      <w:r>
        <w:t>المصادر التي أسهمت فعلياً في هذا التشغيل: Pew Research Center (لقطة ساكنة مقرّبة)، Silk L1 requirements reference (official portals / EUR-Lex)، UN Comtrade، UN Comtrade (مخزن الحقائق).</w:t>
      </w:r>
    </w:p>
    <w:p>
      <w:pPr>
        <w:pStyle w:val="ListBullet"/>
      </w:pPr>
      <w:r>
        <w:t>منهج الثقة: كل رقم في هذا التقرير يحمل مصدره وتاريخ سحبه ودرجة ثقة صريحة (DataPoint) — الفجوة تُعلن بسببها ولا تُقدَّر أو تُخفى أبداً.</w:t>
      </w:r>
    </w:p>
    <w:p>
      <w:pPr>
        <w:pStyle w:val="Heading1"/>
      </w:pPr>
      <w:r>
        <w:t>تعريف السوق ونطاقه</w:t>
      </w:r>
    </w:p>
    <w:p>
      <w:r>
        <w:t>يشمل هذا التقرير: صادرات تمور (رمز HS 080410) من المملكة العربية السعودية، مُقيَّمة عبر سوق واحد مرشّح، ومفصَّلة بعمق للسوق الأعلى ترتيباً (China). يستثني هذا التقرير: التسعير التفصيلي بالتجزئة والملفات المالية للمنافسين (تتطلبان تعميقاً مدفوعاً عبر /deepen)،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1"/>
      </w:pPr>
      <w:r>
        <w:t>موقعك التنافسي</w:t>
      </w:r>
    </w:p>
    <w:p>
      <w:r>
        <w:t>أضف بطاقة منتجك (product_card) للحصول على موقعك التنافسي</w:t>
      </w:r>
    </w:p>
    <w:p>
      <w:pPr>
        <w:pStyle w:val="Heading1"/>
      </w:pPr>
      <w:r>
        <w:t>قرار الدخول (المحرك الموزون §8)</w:t>
      </w:r>
    </w:p>
    <w:p>
      <w:r>
        <w:t>الحكم: CONDITIONAL-GO | النقاط: 0.636 | الثقة: 0.31</w:t>
      </w:r>
    </w:p>
    <w:p>
      <w:r>
        <w:t>أساس الثقة: التغطية 0.39 × الأعمدة المحسوبة 4/5</w:t>
      </w:r>
    </w:p>
    <w:p>
      <w:r>
        <w:t>خيار الأوزان المعتمد: A — النقاط بالخيارين: A = 0.636 | B = 0.584</w:t>
      </w:r>
    </w:p>
    <w:p>
      <w:r>
        <w:t>ملاحظة الأوزان: خيار الأوزان قيد بوابة GATE 3 — كلا المجموعين محسوبان؛ الافتراضي A حتى قرار المالك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العمود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القيمة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الأساس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مكوّنات غائبة</w:t>
            </w:r>
          </w:p>
        </w:tc>
      </w:tr>
      <w:tr>
        <w:tc>
          <w:tcPr>
            <w:tcW w:type="dxa" w:w="2160"/>
          </w:tcPr>
          <w:p>
            <w:r>
              <w:t>جاذبية السوق</w:t>
            </w:r>
          </w:p>
        </w:tc>
        <w:tc>
          <w:tcPr>
            <w:tcW w:type="dxa" w:w="2160"/>
          </w:tcPr>
          <w:p>
            <w:r>
              <w:t>0.892</w:t>
            </w:r>
          </w:p>
        </w:tc>
        <w:tc>
          <w:tcPr>
            <w:tcW w:type="dxa" w:w="2160"/>
          </w:tcPr>
          <w:p>
            <w:r>
              <w:t>متوسط المتاح من: log10(TAM)/9 (سقف 10^9$)، (CAGR+10)/40 (−10%→0، +30%→1)، دخل الفرد/50k$، الحصة السعودية/20%</w:t>
            </w:r>
          </w:p>
        </w:tc>
        <w:tc>
          <w:tcPr>
            <w:tcW w:type="dxa" w:w="2160"/>
          </w:tcPr>
          <w:p>
            <w:r>
              <w:t>income</w:t>
            </w:r>
          </w:p>
        </w:tc>
      </w:tr>
      <w:tr>
        <w:tc>
          <w:tcPr>
            <w:tcW w:type="dxa" w:w="2160"/>
          </w:tcPr>
          <w:p>
            <w:r>
              <w:t>المنافسة</w:t>
            </w:r>
          </w:p>
        </w:tc>
        <w:tc>
          <w:tcPr>
            <w:tcW w:type="dxa" w:w="2160"/>
          </w:tcPr>
          <w:p>
            <w:r>
              <w:t>0.63</w:t>
            </w:r>
          </w:p>
        </w:tc>
        <w:tc>
          <w:tcPr>
            <w:tcW w:type="dxa" w:w="2160"/>
          </w:tcPr>
          <w:p>
            <w:r>
              <w:t>متوسط المتاح من: HHI/0.5، حصة الأكبر/100، عدد المرشّحين بالاسم/10 — الدرجة المستهلكة في المجموع هي (1 − الشدة)</w:t>
            </w:r>
          </w:p>
        </w:tc>
        <w:tc>
          <w:tcPr>
            <w:tcW w:type="dxa" w:w="2160"/>
          </w:tcPr>
          <w:p>
            <w:r>
              <w:t>named_density</w:t>
            </w:r>
          </w:p>
        </w:tc>
      </w:tr>
      <w:tr>
        <w:tc>
          <w:tcPr>
            <w:tcW w:type="dxa" w:w="2160"/>
          </w:tcPr>
          <w:p>
            <w:r>
              <w:t>التنظيم</w:t>
            </w:r>
          </w:p>
        </w:tc>
        <w:tc>
          <w:tcPr>
            <w:tcW w:type="dxa" w:w="2160"/>
          </w:tcPr>
          <w:p>
            <w:r>
              <w:t>0.375</w:t>
            </w:r>
          </w:p>
        </w:tc>
        <w:tc>
          <w:tcPr>
            <w:tcW w:type="dxa" w:w="2160"/>
          </w:tcPr>
          <w:p>
            <w:r>
              <w:t>متوسط المتاح من: (1 − تعريفة/30%)، وضوح القائمة (بنود/8)</w:t>
            </w:r>
          </w:p>
        </w:tc>
        <w:tc>
          <w:tcPr>
            <w:tcW w:type="dxa" w:w="2160"/>
          </w:tcPr>
          <w:p>
            <w:r>
              <w:t>tariff</w:t>
            </w:r>
          </w:p>
        </w:tc>
      </w:tr>
      <w:tr>
        <w:tc>
          <w:tcPr>
            <w:tcW w:type="dxa" w:w="2160"/>
          </w:tcPr>
          <w:p>
            <w:r>
              <w:t>الربحية</w:t>
            </w:r>
          </w:p>
        </w:tc>
        <w:tc>
          <w:tcPr>
            <w:tcW w:type="dxa" w:w="2160"/>
          </w:tcPr>
          <w:p>
            <w:r>
              <w:t>0.75</w:t>
            </w:r>
          </w:p>
        </w:tc>
        <w:tc>
          <w:tcPr>
            <w:tcW w:type="dxa" w:w="2160"/>
          </w:tcPr>
          <w:p>
            <w:r>
              <w:t>متوسط المتاح من: الهامش/40%، الموقع السعري (1.5 − سعرك/متوسط السوق)</w:t>
            </w:r>
          </w:p>
        </w:tc>
        <w:tc>
          <w:tcPr>
            <w:tcW w:type="dxa" w:w="2160"/>
          </w:tcPr>
          <w:p>
            <w:r>
              <w:t>margin</w:t>
            </w:r>
          </w:p>
        </w:tc>
      </w:tr>
      <w:tr>
        <w:tc>
          <w:tcPr>
            <w:tcW w:type="dxa" w:w="2160"/>
          </w:tcPr>
          <w:p>
            <w:r>
              <w:t>أمان السوق (المخاطر)</w:t>
            </w:r>
          </w:p>
        </w:tc>
        <w:tc>
          <w:tcPr>
            <w:tcW w:type="dxa" w:w="2160"/>
          </w:tcPr>
          <w:p>
            <w:r>
              <w:t>— (لا بيانات)</w:t>
            </w:r>
          </w:p>
        </w:tc>
        <w:tc>
          <w:tcPr>
            <w:tcW w:type="dxa" w:w="2160"/>
          </w:tcPr>
          <w:p>
            <w:r>
              <w:t>متوسط المتاح من: (استقرار سياسي WGI+2.5)/5، (جودة تنظيم WGI+2.5)/5، (LPI−1)/4، (1 − تقلّب الصرف/20%) — أعلى=أأمن</w:t>
            </w:r>
          </w:p>
        </w:tc>
        <w:tc>
          <w:tcPr>
            <w:tcW w:type="dxa" w:w="2160"/>
          </w:tcPr>
          <w:p>
            <w:r>
              <w:t>political_stability، regulatory_quality، logistics، fx_stability</w:t>
            </w:r>
          </w:p>
        </w:tc>
      </w:tr>
    </w:tbl>
    <w:p>
      <w:r>
        <w:t>أعمدة غائبة كلياً: أمان السوق (المخاطر)</w:t>
      </w:r>
    </w:p>
    <w:p>
      <w:r>
        <w:t>الشروط:</w:t>
      </w:r>
    </w:p>
    <w:p>
      <w:pPr>
        <w:pStyle w:val="ListBullet"/>
      </w:pPr>
      <w:r>
        <w:t>عمود أمان السوق (المخاطر) غائب (political_stability, regulatory_quality, logistics, fx_stability) — أكمل مصادره قبل قرار نهائي</w:t>
      </w:r>
    </w:p>
    <w:p>
      <w:pPr>
        <w:pStyle w:val="ListBullet"/>
      </w:pPr>
      <w:r>
        <w:t>عمود شدة المنافسة ضعيف (0.37) — متوسط المتاح من: HHI/0.5، حصة الأكبر/100، عدد المرشّحين بالاسم/10 — الدرجة المستهلكة في المجموع هي (1 − الشدة)</w:t>
      </w:r>
    </w:p>
    <w:p>
      <w:pPr>
        <w:pStyle w:val="ListBullet"/>
      </w:pPr>
      <w:r>
        <w:t>عمود الملاءمة التنظيمية ضعيف (0.375) — متوسط المتاح من: (1 − تعريفة/30%)، وضوح القائمة (بنود/8)</w:t>
      </w:r>
    </w:p>
    <w:p>
      <w:r>
        <w:t>سجل المخاطر:</w:t>
      </w:r>
    </w:p>
    <w:p>
      <w:pPr>
        <w:pStyle w:val="ListBullet"/>
      </w:pPr>
      <w:r>
        <w:t>تركّز مصادر التوريد (الشدة: متوسطة) — الدليل: HHI=0.38 &gt; 0.25 (كومتريد)</w:t>
      </w:r>
    </w:p>
    <w:p>
      <w:pPr>
        <w:pStyle w:val="ListBullet"/>
      </w:pPr>
      <w:r>
        <w:t>تغطية بيانات منخفضة (الشدة: متوسطة) — الدليل: تغطية الوكلاء 39% &lt; 60% — القرار مشروط باكتمالها</w:t>
      </w:r>
    </w:p>
    <w:p>
      <w:r>
        <w:t>الخطوات الأولى:</w:t>
      </w:r>
    </w:p>
    <w:p>
      <w:pPr>
        <w:pStyle w:val="ListBullet"/>
      </w:pPr>
      <w:r>
        <w:t>أغلق بنود قائمة الاشتراطات (وكيل regulatory) بنداً بنداً بمرجعها الرسمي</w:t>
      </w:r>
    </w:p>
    <w:p>
      <w:pPr>
        <w:pStyle w:val="ListBullet"/>
      </w:pPr>
      <w:r>
        <w:t>سوق مركّز: ادخل عبر موزّع قائم من مرشّحي وكيل supplier بدل البناء المباشر</w:t>
      </w:r>
    </w:p>
    <w:p>
      <w:r>
        <w:t>لماذا: score 0.636 في النطاق الشرطي أو الثقة 0.31 دون 0.6 أو شروط مفتوحة (3)</w:t>
      </w:r>
    </w:p>
    <w:p>
      <w:r>
        <w:t>قرار حتمي قابل للتفسير من حزمة §4b المتحقَّق منها — الأعمدة الغائبة شروط معلنة، لا تخمين</w:t>
      </w:r>
    </w:p>
    <w:p>
      <w:pPr>
        <w:pStyle w:val="Heading1"/>
      </w:pPr>
      <w:r>
        <w:t>استراتيجية دخول السوق</w:t>
      </w:r>
    </w:p>
    <w:p>
      <w:r>
        <w:t>النموذج الموصى به: عبر موزّع/مستورد محلي قائم</w:t>
      </w:r>
    </w:p>
    <w:p>
      <w:r>
        <w:t>الأساس (من الأقسام أعلاه، لا رقم جديد):</w:t>
      </w:r>
    </w:p>
    <w:p>
      <w:pPr>
        <w:pStyle w:val="ListBullet"/>
      </w:pPr>
      <w:r>
        <w:t>مؤشر تركّز الموردين HHI=0.38 (سوق مركّز)</w:t>
      </w:r>
    </w:p>
    <w:p>
      <w:pPr>
        <w:pStyle w:val="ListBullet"/>
      </w:pPr>
      <w:r>
        <w:t>أكبر حصة مورّد واحد 50.0%</w:t>
      </w:r>
    </w:p>
    <w:p>
      <w:pPr>
        <w:pStyle w:val="Heading1"/>
      </w:pPr>
      <w:r>
        <w:t>حجم السوق — TAM/SAM/SOM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المؤشر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القيمة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النوع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tam_usd</w:t>
            </w:r>
          </w:p>
        </w:tc>
        <w:tc>
          <w:tcPr>
            <w:tcW w:type="dxa" w:w="2160"/>
          </w:tcPr>
          <w:p>
            <w:r>
              <w:t>60,000,000 USD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| سُحب: 2026-07-08 | ثقة: 0.9</w:t>
            </w:r>
          </w:p>
        </w:tc>
      </w:tr>
      <w:tr>
        <w:tc>
          <w:tcPr>
            <w:tcW w:type="dxa" w:w="2160"/>
          </w:tcPr>
          <w:p>
            <w:r>
              <w:t>import_growth_pct</w:t>
            </w:r>
          </w:p>
        </w:tc>
        <w:tc>
          <w:tcPr>
            <w:tcW w:type="dxa" w:w="2160"/>
          </w:tcPr>
          <w:p>
            <w:r>
              <w:t>50.0 %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(مخزن الحقائق) | سُحب: 2026-07-08 | ثقة: 0.9</w:t>
            </w:r>
          </w:p>
        </w:tc>
      </w:tr>
      <w:tr>
        <w:tc>
          <w:tcPr>
            <w:tcW w:type="dxa" w:w="2160"/>
          </w:tcPr>
          <w:p>
            <w:r>
              <w:t>import_cagr_pct</w:t>
            </w:r>
          </w:p>
        </w:tc>
        <w:tc>
          <w:tcPr>
            <w:tcW w:type="dxa" w:w="2160"/>
          </w:tcPr>
          <w:p>
            <w:r>
              <w:t>22.5 %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(مخزن الحقائق) | سُحب: 2026-07-08 | ثقة: 0.9</w:t>
            </w:r>
          </w:p>
        </w:tc>
      </w:tr>
    </w:tbl>
    <w:p>
      <w:pPr>
        <w:pStyle w:val="ListBullet"/>
      </w:pPr>
      <w:r>
        <w:t>فجوة معلنة: sam_usd: يتطلب TAM مرصوداً + شريحة tier في بطاقة المنتج (premium/mid/mass)</w:t>
      </w:r>
    </w:p>
    <w:p>
      <w:pPr>
        <w:pStyle w:val="ListBullet"/>
      </w:pPr>
      <w:r>
        <w:t>فجوة معلنة: som_usd: يتطلب طاقة شهرية في بطاقة المنتج + قيمة وحدة حدودية مرصودة (قيمة/وزن كومتريد)</w:t>
      </w:r>
    </w:p>
    <w:p>
      <w:pPr>
        <w:pStyle w:val="Heading1"/>
      </w:pPr>
      <w:r>
        <w:t>أسعار المنتجات في السوق</w:t>
      </w:r>
    </w:p>
    <w:p>
      <w:pPr>
        <w:pStyle w:val="Heading1"/>
      </w:pPr>
      <w:r>
        <w:t>المنافسون</w:t>
      </w:r>
    </w:p>
    <w:p>
      <w:r>
        <w:t>بيانات غير كافية — INSUFFICIENT DATA</w:t>
      </w:r>
    </w:p>
    <w:p>
      <w:r>
        <w:t>بيانات غير كافية لقسم «المنافسون» (0/2 حقائق سوقية) — المصادر المُحاوَلة: لا مصادر مُحاوَلة</w:t>
      </w:r>
    </w:p>
    <w:p>
      <w:pPr>
        <w:pStyle w:val="Heading2"/>
      </w:pPr>
      <w:r>
        <w:t>شركات بالاسم (مرشّحون غير موثَّقين)</w:t>
      </w:r>
    </w:p>
    <w:p>
      <w:r>
        <w:t>لا كيانات مرصودة بالاسم — فجوة معلنة (أسماء الأعمال تأتي من Google Places حصراً)</w:t>
      </w:r>
    </w:p>
    <w:p>
      <w:r>
        <w:t>الطبقة الدولية (تركّز الموردين — UN Comtrade):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المؤشر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القيمة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المصدر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ملاحظة</w:t>
            </w:r>
          </w:p>
        </w:tc>
      </w:tr>
      <w:tr>
        <w:tc>
          <w:tcPr>
            <w:tcW w:type="dxa" w:w="2160"/>
          </w:tcPr>
          <w:p>
            <w:r>
              <w:t>hhi</w:t>
            </w:r>
          </w:p>
        </w:tc>
        <w:tc>
          <w:tcPr>
            <w:tcW w:type="dxa" w:w="2160"/>
          </w:tcPr>
          <w:p>
            <w:r>
              <w:t>0.38</w:t>
            </w:r>
          </w:p>
        </w:tc>
        <w:tc>
          <w:tcPr>
            <w:tcW w:type="dxa" w:w="2160"/>
          </w:tcPr>
          <w:p>
            <w:r>
              <w:t>UN Comtrade | سُحب: 2026-07-08 | ثقة: 0.9</w:t>
            </w:r>
          </w:p>
        </w:tc>
        <w:tc>
          <w:tcPr>
            <w:tcW w:type="dxa" w:w="2160"/>
          </w:tcPr>
          <w:p>
            <w:r>
              <w:t>مؤشر هيرفنداهل لتركّز المورّدين (3 دولة) — &gt;0.25 سوق مركّز</w:t>
            </w:r>
          </w:p>
        </w:tc>
      </w:tr>
      <w:tr>
        <w:tc>
          <w:tcPr>
            <w:tcW w:type="dxa" w:w="2160"/>
          </w:tcPr>
          <w:p>
            <w:r>
              <w:t>top_supplier_share_pct</w:t>
            </w:r>
          </w:p>
        </w:tc>
        <w:tc>
          <w:tcPr>
            <w:tcW w:type="dxa" w:w="2160"/>
          </w:tcPr>
          <w:p>
            <w:r>
              <w:t>50.0</w:t>
            </w:r>
          </w:p>
        </w:tc>
        <w:tc>
          <w:tcPr>
            <w:tcW w:type="dxa" w:w="2160"/>
          </w:tcPr>
          <w:p>
            <w:r>
              <w:t>UN Comtrade | سُحب: 2026-07-08 | ثقة: 0.9</w:t>
            </w:r>
          </w:p>
        </w:tc>
        <w:tc>
          <w:tcPr>
            <w:tcW w:type="dxa" w:w="2160"/>
          </w:tcPr>
          <w:p>
            <w:r>
              <w:t>حصة المورّد الأكبر: Iran</w:t>
            </w:r>
          </w:p>
        </w:tc>
      </w:tr>
      <w:tr>
        <w:tc>
          <w:tcPr>
            <w:tcW w:type="dxa" w:w="2160"/>
          </w:tcPr>
          <w:p>
            <w:r>
              <w:t>saudi_share_pct</w:t>
            </w:r>
          </w:p>
        </w:tc>
        <w:tc>
          <w:tcPr>
            <w:tcW w:type="dxa" w:w="2160"/>
          </w:tcPr>
          <w:p>
            <w:r>
              <w:t>30.0</w:t>
            </w:r>
          </w:p>
        </w:tc>
        <w:tc>
          <w:tcPr>
            <w:tcW w:type="dxa" w:w="2160"/>
          </w:tcPr>
          <w:p>
            <w:r>
              <w:t>UN Comtrade | سُحب: 2026-07-08 | ثقة: 0.9</w:t>
            </w:r>
          </w:p>
        </w:tc>
        <w:tc>
          <w:tcPr>
            <w:tcW w:type="dxa" w:w="2160"/>
          </w:tcPr>
          <w:p>
            <w:r>
              <w:t>غير مثلَّث — تقرير سعودي مباشر (مرآة) غير متاح: لا تقرير سعودي مباشر (reporter=SAU) لـ HS080410→CHN 2023 — مرآة غير متاحة</w:t>
            </w:r>
          </w:p>
        </w:tc>
      </w:tr>
    </w:tbl>
    <w:p>
      <w:pPr>
        <w:pStyle w:val="Heading1"/>
      </w:pPr>
      <w:r>
        <w:t>التسعير بطبقتيه</w:t>
      </w:r>
    </w:p>
    <w:p>
      <w:r>
        <w:t>الطبقة الحدودية (قيم وحدة كومتريد):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المؤشر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القيمة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النوع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border_unit_value_usd_kg</w:t>
            </w:r>
          </w:p>
        </w:tc>
        <w:tc>
          <w:tcPr>
            <w:tcW w:type="dxa" w:w="2160"/>
          </w:tcPr>
          <w:p>
            <w:r>
              <w:t>3.0 USD/kg</w:t>
            </w:r>
          </w:p>
        </w:tc>
        <w:tc>
          <w:tcPr>
            <w:tcW w:type="dxa" w:w="2160"/>
          </w:tcPr>
          <w:p>
            <w:r>
              <w:t>مُقدَّر — نموذج بافتراضات معلنة</w:t>
            </w:r>
          </w:p>
        </w:tc>
        <w:tc>
          <w:tcPr>
            <w:tcW w:type="dxa" w:w="2160"/>
          </w:tcPr>
          <w:p>
            <w:r>
              <w:t>UN Comtrade (مخزن الحقائق) | سُحب: 2026-07-08 | ثقة: 0.9</w:t>
            </w:r>
          </w:p>
        </w:tc>
      </w:tr>
      <w:tr>
        <w:tc>
          <w:tcPr>
            <w:tcW w:type="dxa" w:w="2160"/>
          </w:tcPr>
          <w:p>
            <w:r>
              <w:t>saudi_border_unit_value_usd_kg</w:t>
            </w:r>
          </w:p>
        </w:tc>
        <w:tc>
          <w:tcPr>
            <w:tcW w:type="dxa" w:w="2160"/>
          </w:tcPr>
          <w:p>
            <w:r>
              <w:t>2.25 USD/kg</w:t>
            </w:r>
          </w:p>
        </w:tc>
        <w:tc>
          <w:tcPr>
            <w:tcW w:type="dxa" w:w="2160"/>
          </w:tcPr>
          <w:p>
            <w:r>
              <w:t>مُقدَّر — نموذج بافتراضات معلنة</w:t>
            </w:r>
          </w:p>
        </w:tc>
        <w:tc>
          <w:tcPr>
            <w:tcW w:type="dxa" w:w="2160"/>
          </w:tcPr>
          <w:p>
            <w:r>
              <w:t>UN Comtrade (مخزن الحقائق) | سُحب: 2026-07-08 | ثقة: 0.85</w:t>
            </w:r>
          </w:p>
        </w:tc>
      </w:tr>
      <w:tr>
        <w:tc>
          <w:tcPr>
            <w:tcW w:type="dxa" w:w="2160"/>
          </w:tcPr>
          <w:p>
            <w:r>
              <w:t>margin_at_border_pct</w:t>
            </w:r>
          </w:p>
        </w:tc>
        <w:tc>
          <w:tcPr>
            <w:tcW w:type="dxa" w:w="2160"/>
          </w:tcPr>
          <w:p>
            <w:r>
              <w:t>غير مرصود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IntenseQuote"/>
      </w:pPr>
      <w:r>
        <w:t>معادلة «border_unit_value_usd_kg»: قيمة الوحدة = قيمة الواردات ÷ الوزن الصافي (كلاهما مرصود من كومتريد)</w:t>
      </w:r>
    </w:p>
    <w:p>
      <w:pPr>
        <w:pStyle w:val="IntenseQuote"/>
      </w:pPr>
      <w:r>
        <w:t>معادلة «saudi_border_unit_value_usd_kg»: قيمة وحدة الصادر السعودي = قيمة ÷ وزن صافٍ (تقرير الجهة المستوردة أو التقرير السعودي المباشر — مرآة)</w:t>
      </w:r>
    </w:p>
    <w:p>
      <w:r>
        <w:t>طبقة التجزئة:</w:t>
      </w:r>
    </w:p>
    <w:p>
      <w:pPr>
        <w:pStyle w:val="ListBullet"/>
      </w:pPr>
      <w:r>
        <w:t>retail_prices: LocalPriceAgent: paid agent outside /deepen — skipped (structural guard, no call attempted)؛ ولا نتائج Google Shopping مرصودة (requires SEARCH_API_KEY)</w:t>
      </w:r>
    </w:p>
    <w:p>
      <w:r>
        <w:t>مراجع الأسعار: غير مرصودة</w:t>
      </w:r>
    </w:p>
    <w:p>
      <w:pPr>
        <w:pStyle w:val="Heading1"/>
      </w:pPr>
      <w:r>
        <w:t>تحليل SWOT (قاعدي من حقائق مرصودة)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القوة</w:t>
            </w:r>
          </w:p>
          <w:p>
            <w:pPr>
              <w:pStyle w:val="ListBullet"/>
            </w:pPr>
            <w:r>
              <w:t>حضور سعودي قائم بحصة 30.0% من واردات السوق — الدليل: UN Comtrade — saudi_share_pct</w:t>
            </w:r>
          </w:p>
          <w:p>
            <w:pPr>
              <w:pStyle w:val="ListBullet"/>
            </w:pPr>
            <w:r>
              <w:t>سعر حدودي سعودي منافس (2.25$ مقابل متوسط 3.0$/kg) — الدليل: UN Comtrade — قيم الوحدة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الضعف</w:t>
            </w:r>
          </w:p>
          <w:p>
            <w:pPr>
              <w:pStyle w:val="ListBullet"/>
            </w:pPr>
            <w:r>
              <w:t>الهامش غير محسوب — بطاقة المنتج غير مكتملة — الدليل: margin_at_border_pct: يتطلب بطاقة منتج بوحدة kg (cost_per_unit) + قيمة وحدة حدودية مرصودة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الفرص</w:t>
            </w:r>
          </w:p>
          <w:p>
            <w:pPr>
              <w:pStyle w:val="ListBullet"/>
            </w:pPr>
            <w:r>
              <w:t>واردات السوق تنمو 22.5% سنوياً مركّباً — الدليل: UN Comtrade — import_cagr_pct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التهديدات</w:t>
            </w:r>
          </w:p>
          <w:p>
            <w:r>
              <w:t>لا بند مرصوداً</w:t>
            </w:r>
          </w:p>
        </w:tc>
      </w:tr>
    </w:tbl>
    <w:p>
      <w:r>
        <w:t>خلايا قاعدية من حقائق مرصودة حصراً — الخلية الفارغة تعني لا بند مرصوداً، لا أنها سليمة</w:t>
      </w:r>
    </w:p>
    <w:p>
      <w:pPr>
        <w:pStyle w:val="Heading1"/>
      </w:pPr>
      <w:r>
        <w:t>شرائح العملاء</w:t>
      </w:r>
    </w:p>
    <w:p>
      <w:pPr>
        <w:pStyle w:val="ListBullet"/>
      </w:pPr>
      <w:r>
        <w:t>شريحة الحلال/رمضان: 2.0% من السكان — الأساس: مرجع Pew الساكن — muslim_share_pct</w:t>
      </w:r>
    </w:p>
    <w:p>
      <w:pPr>
        <w:pStyle w:val="Heading1"/>
      </w:pPr>
      <w:r>
        <w:t>دليل المورّدين والمصنّعين</w:t>
      </w:r>
    </w:p>
    <w:p>
      <w:r>
        <w:t>مورّدون ومصنّعون سعوديون:</w:t>
      </w:r>
    </w:p>
    <w:p>
      <w:pPr>
        <w:pStyle w:val="ListBullet"/>
      </w:pPr>
      <w:r>
        <w:t>لا مرشّحين مرصودين — فجوة معلنة</w:t>
      </w:r>
    </w:p>
    <w:p>
      <w:r>
        <w:t>موزّعون ومستوردون في السوق المستهدف:</w:t>
      </w:r>
    </w:p>
    <w:p>
      <w:pPr>
        <w:pStyle w:val="ListBullet"/>
      </w:pPr>
      <w:r>
        <w:t>لا مرشّحين مرصودين — فجوة معلنة</w:t>
      </w:r>
    </w:p>
    <w:p>
      <w:r>
        <w:t>مرشّحون غير موثَّقين (ثقة 0.4) — أكّدهم قبل التعاقد؛ الترقية الموثّقة عبر /deepen</w:t>
      </w:r>
    </w:p>
    <w:p>
      <w:pPr>
        <w:pStyle w:val="Heading1"/>
      </w:pPr>
      <w:r>
        <w:t>الاشتراطات التنظيمية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البند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الجهة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الاتجاه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الرابط</w:t>
            </w:r>
          </w:p>
        </w:tc>
      </w:tr>
      <w:tr>
        <w:tc>
          <w:tcPr>
            <w:tcW w:type="dxa" w:w="2160"/>
          </w:tcPr>
          <w:p>
            <w:r>
              <w:t>شهادة المنشأ السعودية للصادرات (وزارة التجارة / الغرف التجارية)</w:t>
            </w:r>
          </w:p>
        </w:tc>
        <w:tc>
          <w:tcPr>
            <w:tcW w:type="dxa" w:w="2160"/>
          </w:tcPr>
          <w:p>
            <w:r>
              <w:t>وزارة التجارة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https://mc.gov.sa</w:t>
            </w:r>
          </w:p>
        </w:tc>
      </w:tr>
      <w:tr>
        <w:tc>
          <w:tcPr>
            <w:tcW w:type="dxa" w:w="2160"/>
          </w:tcPr>
          <w:p>
            <w: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160"/>
          </w:tcPr>
          <w:p>
            <w:r>
              <w:t>الهيئة العامة للغذاء والدواء SFDA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https://www.sfda.gov.sa</w:t>
            </w:r>
          </w:p>
        </w:tc>
      </w:tr>
      <w:tr>
        <w:tc>
          <w:tcPr>
            <w:tcW w:type="dxa" w:w="2160"/>
          </w:tcPr>
          <w:p>
            <w: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160"/>
          </w:tcPr>
          <w:p>
            <w:r>
              <w:t>هيئة تنمية الصادرات السعودية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https://saudiexports.sa</w:t>
            </w:r>
          </w:p>
        </w:tc>
      </w:tr>
    </w:tbl>
    <w:p>
      <w:pPr>
        <w:pStyle w:val="IntenseQuote"/>
      </w:pPr>
      <w:r>
        <w:t>المصدر: Silk L1 requirements reference (official portals / EUR-Lex) | سُحب: 2026-07-08 | ثقة: 0.8</w:t>
      </w:r>
    </w:p>
    <w:p>
      <w:pPr>
        <w:pStyle w:val="ListBullet"/>
      </w:pPr>
      <w:r>
        <w:t>فجوة معلنة: tariff_applied_pct: WITS unavailable: ProxyError for HS080410 SAU-&gt;CHN 2023: HTTPSConnectionPool(host='wits.worldbank.org', port=443): Max retries exceeded with url: /API/V1/SDMX/V21/datasource/TRN/reporter/CHN/partner/SAU/product/080410/year/2023/datatype/AHS?format=JSON (Caused by ProxyError('Unable to connect to proxy', NewConnectionError("HTTPSConnection(host='127.0.0.1', port=44727): Failed to establish a new connection: network disabled for offline test")))</w:t>
      </w:r>
    </w:p>
    <w:p>
      <w:pPr>
        <w:pStyle w:val="Heading1"/>
      </w:pPr>
      <w:r>
        <w:t>اتجاه الاستيراد متعدد السنوات</w:t>
      </w:r>
    </w:p>
    <w:p>
      <w:r>
        <w:t>بيانات غير كافية — INSUFFICIENT DATA</w:t>
      </w:r>
    </w:p>
    <w:p>
      <w:r>
        <w:t>بيانات غير كافية لقسم «اتجاه الاستيراد متعدد السنوات» (0/2 حقائق سوقية) — المصادر المُحاوَلة: لا مصادر مُحاوَلة</w:t>
      </w:r>
    </w:p>
    <w:p>
      <w:pPr>
        <w:pStyle w:val="Heading1"/>
      </w:pPr>
      <w:r>
        <w:t>ثقافة المستهلك ونبض السوق</w:t>
      </w:r>
    </w:p>
    <w:p>
      <w:r>
        <w:t>بيانات غير كافية — INSUFFICIENT DATA</w:t>
      </w:r>
    </w:p>
    <w:p>
      <w:r>
        <w:t>بيانات غير كافية لقسم «الثقافة» (0/1) — المصادر المُحاوَلة: Web Search (Serper)</w:t>
      </w:r>
    </w:p>
    <w:p>
      <w:pPr>
        <w:pStyle w:val="Heading1"/>
      </w:pPr>
      <w:r>
        <w:t>الأسواق المرشّحة (الأفضل أولاً)</w:t>
      </w:r>
    </w:p>
    <w:p>
      <w:pPr>
        <w:pStyle w:val="Heading2"/>
      </w:pPr>
      <w:r>
        <w:t>1. China — نقاط 0.8 (ثقة 0.75)</w:t>
      </w:r>
    </w:p>
    <w:p>
      <w:r>
        <w:t>market_size: 60,000,000</w:t>
      </w:r>
    </w:p>
    <w:p>
      <w:pPr>
        <w:pStyle w:val="IntenseQuote"/>
      </w:pPr>
      <w:r>
        <w:t>المصدر: UN Comtrade | سُحب: 2026-07-08 | ثقة: 0.9</w:t>
      </w:r>
    </w:p>
    <w:p>
      <w:r>
        <w:t>saudi_position: 30.0</w:t>
      </w:r>
    </w:p>
    <w:p>
      <w:pPr>
        <w:pStyle w:val="IntenseQuote"/>
      </w:pPr>
      <w:r>
        <w:t>المصدر: UN Comtrade | سُحب: 2026-07-08 | ثقة: 0.9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2026-07-08 | ثقة: 0.0</w:t>
      </w:r>
    </w:p>
    <w:p>
      <w:r>
        <w:t>competition: 0.38</w:t>
      </w:r>
    </w:p>
    <w:p>
      <w:pPr>
        <w:pStyle w:val="IntenseQuote"/>
      </w:pPr>
      <w:r>
        <w:t>المصدر: UN Comtrade | سُحب: 2026-07-08 | ثقة: 0.9</w:t>
      </w:r>
    </w:p>
    <w:p>
      <w:pPr>
        <w:pStyle w:val="Heading1"/>
      </w:pPr>
      <w:r>
        <w:t>تغطية المصادر حسب القسم</w:t>
      </w:r>
    </w:p>
    <w:p>
      <w:r>
        <w:t>حجم السوق والمنافسة: 3/3 (درجة 1.0) ⚠ مصدر واحد — ثقة منخفضة</w:t>
      </w:r>
    </w:p>
    <w:p>
      <w:r>
        <w:t>الاشتراطات والتعريفة: 3/4 (درجة 0.75) ⚠ مصدر واحد — ثقة منخفضة</w:t>
      </w:r>
    </w:p>
    <w:p>
      <w:r>
        <w:t>المنافسون بالاسم: 0/0 (درجة 0.0) ⚠ مصدر واحد — ثقة منخفضة</w:t>
      </w:r>
    </w:p>
    <w:p>
      <w:r>
        <w:t>الأسعار: 2/2 (درجة 1.0) ⚠ مصدر واحد — ثقة منخفضة</w:t>
      </w:r>
    </w:p>
    <w:p>
      <w:r>
        <w:t>الطلب والقدرة: 0/1 (درجة 0.0) ⚠ مصدر واحد — ثقة منخفضة</w:t>
      </w:r>
    </w:p>
    <w:p>
      <w:r>
        <w:t>المخاطر: 0/4 (درجة 0.0) ⚠ مصدر واحد — ثقة منخفضة</w:t>
      </w:r>
    </w:p>
    <w:p>
      <w:r>
        <w:t>الاتجاه: 0/0 (درجة 0.0) ⚠ مصدر واحد — ثقة منخفضة</w:t>
      </w:r>
    </w:p>
    <w:p>
      <w:pPr>
        <w:pStyle w:val="Heading1"/>
      </w:pPr>
      <w:r>
        <w:t>ملحق: أثر المصادر (المحاولات والإسهام)</w:t>
      </w:r>
    </w:p>
    <w:p>
      <w:r>
        <w:t>UN Comtrade: أسهم 9 من 9 محاولة</w:t>
      </w:r>
    </w:p>
    <w:p>
      <w:r>
        <w:t>Silk L1 requirements reference (official portals / EUR-Lex): أسهم 6 من 7 محاولة</w:t>
      </w:r>
    </w:p>
    <w:p>
      <w:pPr>
        <w:pStyle w:val="IntenseQuote"/>
      </w:pPr>
      <w:r>
        <w:t xml:space="preserve">    فشل مُسجَّل: سوق CHN (موثّق جزئياً) غير مغطى بالمرجع الثابت بعد — تحقق محلياً (verify locally)</w:t>
      </w:r>
    </w:p>
    <w:p>
      <w:r>
        <w:t>UN Comtrade (مخزن الحقائق): أسهم 4 من 4 محاولة</w:t>
      </w:r>
    </w:p>
    <w:p>
      <w:r>
        <w:t>Pew Research Center (لقطة ساكنة مقرّبة): أسهم 2 من 2 محاولة</w:t>
      </w:r>
    </w:p>
    <w:p>
      <w:r>
        <w:t>World Bank: أسهم 0 من 5 محاولة</w:t>
      </w:r>
    </w:p>
    <w:p>
      <w:pPr>
        <w:pStyle w:val="IntenseQuote"/>
      </w:pPr>
      <w:r>
        <w:t xml:space="preserve">    فشل مُسجَّل: no income data for CHN 2023</w:t>
      </w:r>
    </w:p>
    <w:p>
      <w:pPr>
        <w:pStyle w:val="IntenseQuote"/>
      </w:pPr>
      <w:r>
        <w:t xml:space="preserve">    فشل مُسجَّل: الاستقرار السياسي (WGI) — PV.EST fetch failed for CHN: HTTPSConnectionPool(host='api.worldbank.org', port=443): Max retries exceeded with ur</w:t>
      </w:r>
    </w:p>
    <w:p>
      <w:pPr>
        <w:pStyle w:val="IntenseQuote"/>
      </w:pPr>
      <w:r>
        <w:t xml:space="preserve">    فشل مُسجَّل: جودة التنظيم (WGI) — RQ.EST fetch failed for CHN: HTTPSConnectionPool(host='api.worldbank.org', port=443): Max retries exceeded with url: /v</w:t>
      </w:r>
    </w:p>
    <w:p>
      <w:pPr>
        <w:pStyle w:val="Heading1"/>
      </w:pPr>
      <w:r>
        <w:t>حدود هذا التقرير</w:t>
      </w:r>
    </w:p>
    <w:p>
      <w:pPr>
        <w:pStyle w:val="ListBullet"/>
      </w:pPr>
      <w:r>
        <w:t>China: demand_capacity missing (no income/population signal)</w:t>
      </w:r>
    </w:p>
    <w:p>
      <w:pPr>
        <w:pStyle w:val="Heading1"/>
      </w:pPr>
      <w:r>
        <w:t>التوصية الأوّلية</w:t>
      </w:r>
    </w:p>
    <w:p>
      <w:r>
        <w:t>القرار: CONDITIONAL-GO (ثقة 0.31) — China</w:t>
      </w:r>
    </w:p>
    <w:p>
      <w:r>
        <w:t>أضف بطاقة منتجك (product_card) للحصول على موقعك التنافسي</w:t>
      </w:r>
    </w:p>
    <w:p>
      <w:r>
        <w:t>نتيجة مبدئية مبنية على بيانات عامة حقيقية؛ النواقص معلّمة لا مُخمّنة. Preliminary, real public data only; gaps flagged, not estimated.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