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606060"/>
          <w:sz w:val="32"/>
        </w:rPr>
        <w:t xml:space="preserve">  تعذّر إصدار توصية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تعذّر إصدار توصية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 لأن (أ) الجالية المسلمة في هولندا نحو 1.0 مليون نسمة</w:t>
      </w:r>
    </w:p>
    <w:p>
      <w:r>
        <w:t>ضمن واردات تمور سنوية تبلغ 38 مليون دولار، (ب) سوق مورّدين معتدل التركّز</w:t>
      </w:r>
    </w:p>
    <w:p>
      <w:r>
        <w:t>(HHI≈2100) يترك مجالاً لمورّد جديد منافس بالسعر، (ج) نمو الواردات 7%</w:t>
      </w:r>
    </w:p>
    <w:p>
      <w:r>
        <w:t>مركّباً على ثلاث سنوات. تتحول التوصية إلى دخول كامل إذا (١) تأكدت شهادة</w:t>
      </w:r>
    </w:p>
    <w:p>
      <w:r>
        <w:t>المنشأة المعتمدة EU 2017/625 خلال 90 يوماً و(٢) تم التعاقد مع موزّع واحد</w:t>
      </w:r>
    </w:p>
    <w:p>
      <w:r>
        <w:t>على الأقل من الباب الأول أدناه.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أيّ خطوة تسويقية.</w:t>
      </w:r>
    </w:p>
    <w:p>
      <w:r>
        <w:t>الحكم الجاهز: دخول مشروط. أقوى ثلاثة أسباب: (1) شريحة 1.0 مليون نسمة ضمن</w:t>
      </w:r>
    </w:p>
    <w:p>
      <w:r>
        <w:t>واردات 38 مليون دولار، (2) تركّز مورّدين معتدل (HHI≈2100)، (3) نمو واردات</w:t>
      </w:r>
    </w:p>
    <w:p>
      <w:r>
        <w:t>7% مركّباً. الشرط اللازم: تأكيد الأهلية التنظيمية.</w:t>
      </w:r>
    </w:p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1"/>
      </w:pPr>
      <w:r>
        <w:t>السوق بالأرقام</w:t>
      </w:r>
    </w:p>
    <w:p>
      <w:r>
        <w:t>واردات هولندا من تمور HS080410 بلغت 38 مليون دولار عام 2023 (UN</w:t>
      </w:r>
    </w:p>
    <w:p>
      <w:r>
        <w:t>Comtrade)، بنمو 7% مركّباً على ثلاث سنوات — أعلى من متوسط نمو واردات</w:t>
      </w:r>
    </w:p>
    <w:p>
      <w:r>
        <w:t>الاتحاد الأوروبي لنفس الفئة. حساب حجم الفرصة: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rPr>
          <w:b/>
        </w:rPr>
        <w:t>ماذا يعني هذا لقرارك: حجم الهدف الواقعي يبرّر شحنة تجارية حقيقية لا</w:t>
      </w:r>
    </w:p>
    <w:p>
      <w:r>
        <w:t>اختباراً مصغّراً.</w:t>
      </w:r>
    </w:p>
    <w:p>
      <w:r>
        <w:t>محرّكات: نمو الجالية المسلمة ونضج قنوات التوزيع. معوّقات: بوابة الأهلية</w:t>
      </w:r>
    </w:p>
    <w:p>
      <w:r>
        <w:t>الأوروبية الإلزامية. فرص: تركّز مورّدين معتدل يترك مجالاً لمنافس جديد. في</w:t>
      </w:r>
    </w:p>
    <w:p>
      <w:r>
        <w:t>المقابل، يظل التهديد الأبرز منافسة تونس والمغرب بأسعار أدنى في القناة</w:t>
      </w:r>
    </w:p>
    <w:p>
      <w:r>
        <w:t>المتخصصة نفسها.</w:t>
      </w:r>
    </w:p>
    <w:p>
      <w:r>
        <w:rPr>
          <w:b/>
        </w:rPr>
        <w:t>ماذا يعني هذا لقرارك: الفرصة في تجزّؤ صفّ المورّدين لا في حجم السوق</w:t>
      </w:r>
    </w:p>
    <w:p>
      <w:r>
        <w:t>وحده.</w:t>
      </w:r>
    </w:p>
    <w:p>
      <w:r>
        <w:t>حساب حجم الشريحة: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اتجاه البحث خمس سنوات صاعد بذروة موسمية واضحة حول رمضان (Google Trends).</w:t>
      </w:r>
    </w:p>
    <w:p>
      <w:r>
        <w:t>ومن ثمّ فإن الطلب موسميّ الطابع، يتركّز في نافذة تسويقية محدّدة.</w:t>
      </w:r>
    </w:p>
    <w:p>
      <w:r>
        <w:rPr>
          <w:b/>
        </w:rPr>
        <w:t>ماذا يعني هذا لقرارك: وجّه الاستثمار التسويقي للقناة الحلال المتخصصة</w:t>
      </w:r>
    </w:p>
    <w:p>
      <w:r>
        <w:t>قبل موسم رمضان تحديداً.</w:t>
      </w:r>
    </w:p>
    <w:p>
      <w:pPr>
        <w:pStyle w:val="Heading1"/>
      </w:pPr>
      <w:r>
        <w:t>المنافسة والتسعير والهامش</w:t>
      </w:r>
    </w:p>
    <w:p>
      <w:r>
        <w:t>مؤشر تركّز المورّدين HHI≈2100 (معتدل — لا مورّد مهيمناً) من</w:t>
      </w:r>
    </w:p>
    <w:p>
      <w:r>
        <w:t>السجلّات الرسمية: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9.20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</w:tr>
      <w:tr>
        <w:tc>
          <w:tcPr>
            <w:tcW w:type="dxa" w:w="2160"/>
          </w:tcPr>
          <w:p>
            <w:r>
              <w:t>تمور فاخرة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متجر متخصص (رصد ويب)</w:t>
            </w:r>
          </w:p>
        </w:tc>
      </w:tr>
    </w:tbl>
    <w:p>
      <w:r>
        <w:t>حساب الهامش: سعر التصدير 9.0$/كغم + شحن 0.80$/كغم + تعريفة 0% = تكلفة</w:t>
      </w:r>
    </w:p>
    <w:p>
      <w:r>
        <w:t>هبوط 9.8$/كغم ≈ 9.1 يورو/كغم — يقع عند حافة الطبقة المتوسطة، هامش موجب</w:t>
      </w:r>
    </w:p>
    <w:p>
      <w:r>
        <w:t>فقط عند استهداف القناة المتخصصة لا السوبرماركت العام.</w:t>
      </w:r>
    </w:p>
    <w:p>
      <w:r>
        <w:rPr>
          <w:b/>
        </w:rPr>
        <w:t>ماذا يعني هذا لقرارك: استهدف القناة المتخصصة والمتاجر الحلال أولاً.</w:t>
      </w:r>
    </w:p>
    <w:p>
      <w:pPr>
        <w:pStyle w:val="Heading1"/>
      </w:pPr>
      <w:r>
        <w:t>مسار الدخول والمتطلبات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من جهة مانحة معترف بها</w:t>
            </w:r>
          </w:p>
        </w:tc>
      </w:tr>
    </w:tbl>
    <w:p>
      <w:r>
        <w:t>التعريفة الأوروبية على HS080410 صفر ضمن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ما يحدّد الجدول الزمني.</w:t>
      </w:r>
    </w:p>
    <w:p>
      <w:r>
        <w:t>ميناء روتردام أكبر بوابة استيراد أوروبية، ومؤشر أداء اللوجستيات الهولندي</w:t>
      </w:r>
    </w:p>
    <w:p>
      <w:r>
        <w:t>من الأعلى عالمياً (World Bank LPI). القنوات المتاحة: موزّع أغذية متخصص،</w:t>
      </w:r>
    </w:p>
    <w:p>
      <w:r>
        <w:t>سلاسل إثنية، تجارة إلكترونية.</w:t>
      </w:r>
    </w:p>
    <w:p>
      <w:r>
        <w:rPr>
          <w:b/>
        </w:rPr>
        <w:t>ماذا يعني هذا لقرارك: البنية اللوجستية ناضجة — اعتمد موزّعاً قائماً</w:t>
      </w:r>
    </w:p>
    <w:p>
      <w:r>
        <w:t>بلا حاجة لحلّ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المستهدَفة: 1,000,000 نسمة (القسم 5). (ب) التموضع: بين طبقة</w:t>
      </w:r>
    </w:p>
    <w:p>
      <w:r>
        <w:t>Jumbo المتوسطة (9.20€) والفاخر (14.00€) — هامش تقديري 1.0-1.8 يورو/كغم</w:t>
      </w:r>
    </w:p>
    <w:p>
      <w:r>
        <w:t>بعد تكلفة الهبوط 9.1€ عند القناة المتخصصة (القسم 6). (ج) الباب الأول:</w:t>
      </w:r>
    </w:p>
    <w:p>
      <w:r>
        <w:t>موزّعو أغذية حلال متخصصون في أمستردام وروتردام (○ يحتاج تحققاً). (د) أول</w:t>
      </w:r>
    </w:p>
    <w:p>
      <w:r>
        <w:t>ثلاث خطوات: 1) تسجيل المنشأة المعتمدة EU 2017/625 — فريق الامتثال، تكلفة</w:t>
      </w:r>
    </w:p>
    <w:p>
      <w:r>
        <w:t>متوسطة؛ 2) عيّنة تجريبية لموزّع مرشّح — فريق المبيعات، تكلفة منخفضة؛ 3)</w:t>
      </w:r>
    </w:p>
    <w:p>
      <w:r>
        <w:t>دراسة تسعير مقابل تونس/المغرب — فريق التسويق، تكلفة منخفضة. (هـ) مؤشرا</w:t>
      </w:r>
    </w:p>
    <w:p>
      <w:r>
        <w:t>القلب: تسجيل الأهلية خلال 90 يوماً، وردّ فعل سعري من موزّع واحد.</w:t>
      </w:r>
    </w:p>
    <w:p>
      <w:r>
        <w:rPr>
          <w:b/>
        </w:rPr>
        <w:t>ماذا يعني هذا لقرارك: هذه الخطوات تحدّد إن تحوّلت التوصية لدخول كامل</w:t>
      </w:r>
    </w:p>
    <w:p>
      <w:r>
        <w:t>خلال ربع واحد.</w:t>
      </w:r>
    </w:p>
    <w:p>
      <w:pPr>
        <w:pStyle w:val="Heading1"/>
      </w:pPr>
      <w:r>
        <w:t>المخاطر</w:t>
      </w:r>
    </w:p>
    <w:p>
      <w:r>
        <w:t>الاستقرار السياسي وسيادة القانون مرتفعان (World Bank WGI). تقلّب سعر</w:t>
      </w:r>
    </w:p>
    <w:p>
      <w:r>
        <w:t>الصرف غير ذي صلة (اليورو عملة السوق نفسها). لا أخبار مخاطر قطاعية جوهرية</w:t>
      </w:r>
    </w:p>
    <w:p>
      <w:r>
        <w:t>خلال 12 شهراً (GDELT).</w:t>
      </w:r>
    </w:p>
    <w:p>
      <w:r>
        <w:rPr>
          <w:b/>
        </w:rPr>
        <w:t>ماذا يعني هذا لقرارك: لا مخاطر كلية تستدعي التأجيل — المخاطرة الوحيدة</w:t>
      </w:r>
    </w:p>
    <w:p>
      <w:r>
        <w:t>الجوهرية إجرائية (الأهلية التنظيمية).</w:t>
      </w:r>
    </w:p>
    <w:p>
      <w:pPr>
        <w:pStyle w:val="Heading1"/>
      </w:pPr>
      <w:r>
        <w:t>ما لم يكتمل للقرار، والخطوة التالية</w:t>
      </w:r>
    </w:p>
    <w:p>
      <w:r>
        <w:t>اكتملت التقاطعات التحليلية الأساسية بأدلة موثّقة بمصادرها؛ لا فجوة جوهرية تمنع اتخاذ القرار ضمن نطاق هذا التقرير.</w:t>
      </w:r>
    </w:p>
    <w:p>
      <w:pPr>
        <w:pStyle w:val="Heading2"/>
      </w:pPr>
      <w:r>
        <w:t>الخطوة التالية المقترحة</w:t>
      </w:r>
    </w:p>
    <w:p>
      <w:r>
        <w:t>فعّل خدمة التعميق المدفوعة للتحقق من المستوردين وجهات الاتصال (Volza/Explee)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38000000.0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17800000.0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Albert Heijn: تمور اقتصادية 5.50€/كغم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Jumbo: تمور متوسطة 9.20€/كغم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</w:tcPr>
          <w:p>
            <w:r>
              <w:t>EU 2017/625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  <w:shd w:val="clear" w:fill="F2F2F2"/>
          </w:tcPr>
          <w:p>
            <w:r>
              <w:t>Eurostat (مسح ميزانية الأسرة)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</w:tcPr>
          <w:p>
            <w:r>
              <w:t>GDELT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  <w:shd w:val="clear" w:fill="F2F2F2"/>
          </w:tcPr>
          <w:p>
            <w:r>
              <w:t>مرجع الموانئ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تعريفة صفرية ضمن GSP+</w:t>
            </w:r>
          </w:p>
        </w:tc>
        <w:tc>
          <w:tcPr>
            <w:tcW w:type="dxa" w:w="2160"/>
          </w:tcPr>
          <w:p>
            <w:r>
              <w:t>WITS/WTO Tariff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  <w:shd w:val="clear" w:fill="F2F2F2"/>
          </w:tcPr>
          <w:p>
            <w:r>
              <w:t>Google Trends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</w:tcPr>
          <w:p>
            <w:r>
              <w:t>بحث ويب (غير مؤكَّد)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