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سِلك — تقرير سوق: تمور</w:t>
      </w:r>
    </w:p>
    <w:p>
      <w:r>
        <w:t>المنتج: تمور | HS: 080410 | المنشأ: السعودية | السوق المستهدف: China | التاريخ: 2026-07-08 | تغطية البيانات الإجمالية: 50.0%</w:t>
      </w:r>
    </w:p>
    <w:p>
      <w:pPr>
        <w:pStyle w:val="Heading1"/>
      </w:pPr>
      <w:r>
        <w:t>الخلاصة التنفيذية</w:t>
      </w:r>
    </w:p>
    <w:p>
      <w:r>
        <w:t>القرار: CONDITIONAL-GO (ثقة 0.31) — السوق الأول: China</w:t>
      </w:r>
    </w:p>
    <w:p>
      <w:r>
        <w:t>لماذا: score 0.636 في النطاق الشرطي أو الثقة 0.31 دون 0.6 أو شروط مفتوحة (3)</w:t>
      </w:r>
    </w:p>
    <w:p>
      <w:r>
        <w:t>بوابة كفاية البيانات: 0/3 وكلاء أساسيون لديهم بيانات؛ فجوات: TradeFlowAgent، EconomicAgent، CompetitionAgent</w:t>
      </w:r>
    </w:p>
    <w:p>
      <w:r>
        <w:t>رمز HS: 080410 (ثقة التصنيف 1.0) | سنة البيانات: 2023 | النتيجة أوّلية لا نهائية.</w:t>
      </w:r>
    </w:p>
    <w:p>
      <w:pPr>
        <w:pStyle w:val="Heading1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قرار الدخول (المحرك الموزون §8)</w:t>
      </w:r>
    </w:p>
    <w:p>
      <w:r>
        <w:t>الحكم: CONDITIONAL-GO | النقاط: 0.636 | الثقة: 0.31</w:t>
      </w:r>
    </w:p>
    <w:p>
      <w:r>
        <w:t>أساس الثقة: التغطية 0.39 × الأعمدة المحسوبة 4/5</w:t>
      </w:r>
    </w:p>
    <w:p>
      <w:r>
        <w:t>خيار الأوزان المعتمد: A — النقاط بالخيارين: A = 0.636 | B = 0.584</w:t>
      </w:r>
    </w:p>
    <w:p>
      <w:r>
        <w:t>ملاحظة الأوزان: خيار الأوزان قيد بوابة GATE 3 — كلا المجموعين محسوبان؛ الافتراضي A حتى قرار المالك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العمود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الأساس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</w:tcPr>
          <w:p>
            <w:r>
              <w:t>المنافسة</w:t>
            </w:r>
          </w:p>
        </w:tc>
        <w:tc>
          <w:tcPr>
            <w:tcW w:type="dxa" w:w="2160"/>
          </w:tcPr>
          <w:p>
            <w:r>
              <w:t>0.63</w:t>
            </w:r>
          </w:p>
        </w:tc>
        <w:tc>
          <w:tcPr>
            <w:tcW w:type="dxa" w:w="2160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</w:tcPr>
          <w:p>
            <w:r>
              <w:t>الربحية</w:t>
            </w:r>
          </w:p>
        </w:tc>
        <w:tc>
          <w:tcPr>
            <w:tcW w:type="dxa" w:w="2160"/>
          </w:tcPr>
          <w:p>
            <w:r>
              <w:t>0.75</w:t>
            </w:r>
          </w:p>
        </w:tc>
        <w:tc>
          <w:tcPr>
            <w:tcW w:type="dxa" w:w="2160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 (لا بيانات)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(0.37)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pPr>
        <w:pStyle w:val="ListBullet"/>
      </w:pPr>
      <w:r>
        <w:t>سوق مركّز: ادخل عبر موزّع قائم من مرشّحي وكيل supplier بدل البناء المباشر</w:t>
      </w:r>
    </w:p>
    <w:p>
      <w:r>
        <w:t>لماذا: score 0.636 في النطاق الشرطي أو الثقة 0.31 دون 0.6 أو 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1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pPr>
        <w:pStyle w:val="Heading1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النوع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tam_usd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</w:tr>
      <w:tr>
        <w:tc>
          <w:tcPr>
            <w:tcW w:type="dxa" w:w="2160"/>
          </w:tcPr>
          <w:p>
            <w:r>
              <w:t>import_growth_pct</w:t>
            </w:r>
          </w:p>
        </w:tc>
        <w:tc>
          <w:tcPr>
            <w:tcW w:type="dxa" w:w="2160"/>
          </w:tcPr>
          <w:p>
            <w:r>
              <w:t>50.0 %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0.9</w:t>
            </w:r>
          </w:p>
        </w:tc>
      </w:tr>
      <w:tr>
        <w:tc>
          <w:tcPr>
            <w:tcW w:type="dxa" w:w="2160"/>
          </w:tcPr>
          <w:p>
            <w:r>
              <w:t>import_cagr_pct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0.9</w:t>
            </w:r>
          </w:p>
        </w:tc>
      </w:tr>
    </w:tbl>
    <w:p>
      <w:pPr>
        <w:pStyle w:val="ListBullet"/>
      </w:pPr>
      <w:r>
        <w:t>فجوة معلنة: sam_usd: يتطلب TAM مرصوداً + شريحة tier في بطاقة المنتج (premium/mid/mass)</w:t>
      </w:r>
    </w:p>
    <w:p>
      <w:pPr>
        <w:pStyle w:val="ListBullet"/>
      </w:pPr>
      <w:r>
        <w:t>فجوة معلنة: som_usd: يتطلب طاقة شهرية في بطاقة المنتج + قيمة وحدة حدودية مرصودة (قيمة/وزن كومتريد)</w:t>
      </w:r>
    </w:p>
    <w:p>
      <w:pPr>
        <w:pStyle w:val="Heading1"/>
      </w:pPr>
      <w:r>
        <w:t>أسعار المنتجات في السوق</w:t>
      </w:r>
    </w:p>
    <w:p>
      <w:r>
        <w:t>بيانات غير كافية — INSUFFICIENT DATA</w:t>
      </w:r>
    </w:p>
    <w:p>
      <w:r>
        <w:t>بيانات غير كافية لقسم «أسعار المنتجات في السوق» (0/1 حقائق سوقية) — المصادر المُحاوَلة: لا مصادر مُحاوَلة</w:t>
      </w:r>
    </w:p>
    <w:p>
      <w:pPr>
        <w:pStyle w:val="Heading1"/>
      </w:pPr>
      <w:r>
        <w:t>المنافسون</w:t>
      </w:r>
    </w:p>
    <w:p>
      <w:r>
        <w:t>بيانات غير كافية — INSUFFICIENT DATA</w:t>
      </w:r>
    </w:p>
    <w:p>
      <w:r>
        <w:t>بيانات غير كافية لقسم «المنافسون» (0/2 حقائق سوقية) — المصادر المُحاوَلة: لا مصادر مُحاوَلة</w:t>
      </w:r>
    </w:p>
    <w:p>
      <w:pPr>
        <w:pStyle w:val="Heading2"/>
      </w:pPr>
      <w:r>
        <w:t>شركات بالاسم (مرشّحون غير موثَّقين)</w:t>
      </w:r>
    </w:p>
    <w:p>
      <w:r>
        <w:t>لا كيانات مرصودة بالاسم — فجوة معلنة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hhi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</w:tcPr>
          <w:p>
            <w:r>
              <w:t>top_supplier_share_pct</w:t>
            </w:r>
          </w:p>
        </w:tc>
        <w:tc>
          <w:tcPr>
            <w:tcW w:type="dxa" w:w="2160"/>
          </w:tcPr>
          <w:p>
            <w:r>
              <w:t>50.0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  <w:tc>
          <w:tcPr>
            <w:tcW w:type="dxa" w:w="2160"/>
          </w:tcPr>
          <w:p>
            <w:r>
              <w:t>حصة المورّد الأكبر: Iran</w:t>
            </w:r>
          </w:p>
        </w:tc>
      </w:tr>
      <w:tr>
        <w:tc>
          <w:tcPr>
            <w:tcW w:type="dxa" w:w="2160"/>
          </w:tcPr>
          <w:p>
            <w:r>
              <w:t>saudi_share_pct</w:t>
            </w:r>
          </w:p>
        </w:tc>
        <w:tc>
          <w:tcPr>
            <w:tcW w:type="dxa" w:w="2160"/>
          </w:tcPr>
          <w:p>
            <w:r>
              <w:t>30.0</w:t>
            </w:r>
          </w:p>
        </w:tc>
        <w:tc>
          <w:tcPr>
            <w:tcW w:type="dxa" w:w="2160"/>
          </w:tcPr>
          <w:p>
            <w:r>
              <w:t>UN Comtrade | سُحب: 2026-07-08 | ثقة: 0.9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1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المؤشر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القيمة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النوع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border_unit_value_usd_kg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0.9</w:t>
            </w:r>
          </w:p>
        </w:tc>
      </w:tr>
      <w:tr>
        <w:tc>
          <w:tcPr>
            <w:tcW w:type="dxa" w:w="2160"/>
          </w:tcPr>
          <w:p>
            <w:r>
              <w:t>saudi_border_unit_value_usd_kg</w:t>
            </w:r>
          </w:p>
        </w:tc>
        <w:tc>
          <w:tcPr>
            <w:tcW w:type="dxa" w:w="2160"/>
          </w:tcPr>
          <w:p>
            <w:r>
              <w:t>2.25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2026-07-08 | ثقة: 0.85</w:t>
            </w:r>
          </w:p>
        </w:tc>
      </w:tr>
      <w:tr>
        <w:tc>
          <w:tcPr>
            <w:tcW w:type="dxa" w:w="2160"/>
          </w:tcPr>
          <w:p>
            <w:r>
              <w:t>margin_at_border_pct</w:t>
            </w:r>
          </w:p>
        </w:tc>
        <w:tc>
          <w:tcPr>
            <w:tcW w:type="dxa" w:w="2160"/>
          </w:tcPr>
          <w:p>
            <w:r>
              <w:t>غير مرصود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«border_unit_value_usd_kg»: قيمة الوحدة = قيمة الواردات ÷ الوزن الصافي (كلاهما مرصود من كومتريد)</w:t>
      </w:r>
    </w:p>
    <w:p>
      <w:pPr>
        <w:pStyle w:val="IntenseQuote"/>
      </w:pPr>
      <w:r>
        <w:t>معادلة «saudi_border_unit_value_usd_kg»: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retail_prices: LocalPriceAgent: paid agent outside /deepen — skipped (structural guard, no call attempted)؛ ولا نتائج Google Shopping مرصودة (requires SEARCH_API_KEY)</w:t>
      </w:r>
    </w:p>
    <w:p>
      <w:r>
        <w:t>مراجع الأسعار: غير مرصودة</w:t>
      </w:r>
    </w:p>
    <w:p>
      <w:pPr>
        <w:pStyle w:val="Heading1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saudi_share_pct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margin_at_border_pct: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import_cagr_pct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لا بند مرصوداً</w:t>
            </w:r>
          </w:p>
        </w:tc>
      </w:tr>
    </w:tbl>
    <w:p>
      <w:r>
        <w:t>خلايا قاعدية من حقائق مرصودة حصراً — الخلية الفارغة تعني لا بند مرصوداً، لا أنها سليمة</w:t>
      </w:r>
    </w:p>
    <w:p>
      <w:pPr>
        <w:pStyle w:val="Heading1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لا مرشّحين مرصودين — فجوة معلنة</w:t>
      </w:r>
    </w:p>
    <w:p>
      <w:r>
        <w:t>موزّعون ومستوردون في السوق المستهدف:</w:t>
      </w:r>
    </w:p>
    <w:p>
      <w:pPr>
        <w:pStyle w:val="ListBullet"/>
      </w:pPr>
      <w:r>
        <w:t>لا مرشّحين مرصودين — فجوة معلنة</w:t>
      </w:r>
    </w:p>
    <w:p>
      <w:r>
        <w:t>مرشّحون غير موثَّقين (ثقة 0.4) — أكّدهم قبل التعاقد؛ الترقية الموثّقة عبر /deepen</w:t>
      </w:r>
    </w:p>
    <w:p>
      <w:pPr>
        <w:pStyle w:val="Heading1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البند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الجهة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الاتجاه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2026-07-08 | ثقة: 0.8</w:t>
      </w:r>
    </w:p>
    <w:p>
      <w:pPr>
        <w:pStyle w:val="ListBullet"/>
      </w:pPr>
      <w:r>
        <w:t>فجوة معلنة: tariff_applied_pct: WITS unavailable: ProxyError for HS080410 SAU-&gt;CHN 2023: HTTPSConnectionPool(host='wits.worldbank.org', port=443): Max retries exceeded with url: /API/V1/SDMX/V21/datasource/TRN/reporter/CHN/partner/SAU/product/080410/year/2023/datatype/AHS?format=JSON (Caused by ProxyError('Unable to connect to proxy', NewConnectionError("HTTPSConnection(host='127.0.0.1', port=46685): Failed to establish a new connection: network disabled for offline test")))</w:t>
      </w:r>
    </w:p>
    <w:p>
      <w:pPr>
        <w:pStyle w:val="Heading1"/>
      </w:pPr>
      <w:r>
        <w:t>اتجاه الاستيراد متعدد السنوات</w:t>
      </w:r>
    </w:p>
    <w:p>
      <w:r>
        <w:t>بيانات غير كافية — INSUFFICIENT DATA</w:t>
      </w:r>
    </w:p>
    <w:p>
      <w:r>
        <w:t>بيانات غير كافية لقسم «اتجاه الاستيراد متعدد السنوات» (0/2 حقائق سوقية) — المصادر المُحاوَلة: لا مصادر مُحاوَلة</w:t>
      </w:r>
    </w:p>
    <w:p>
      <w:pPr>
        <w:pStyle w:val="Heading1"/>
      </w:pPr>
      <w:r>
        <w:t>ثقافة المستهلك ونبض السوق</w:t>
      </w:r>
    </w:p>
    <w:p>
      <w:r>
        <w:t>بيانات غير كافية — INSUFFICIENT DATA</w:t>
      </w:r>
    </w:p>
    <w:p>
      <w:r>
        <w:t>بيانات غير كافية لقسم «الثقافة» (0/1) — المصادر المُحاوَلة: Web Search (Serper)</w:t>
      </w:r>
    </w:p>
    <w:p>
      <w:pPr>
        <w:pStyle w:val="Heading1"/>
      </w:pPr>
      <w:r>
        <w:t>الأسواق المرشّحة (الأفضل أولاً)</w:t>
      </w:r>
    </w:p>
    <w:p>
      <w:pPr>
        <w:pStyle w:val="Heading2"/>
      </w:pPr>
      <w:r>
        <w:t>1. China — نقاط 0.8 (ثقة 0.75)</w:t>
      </w:r>
    </w:p>
    <w:p>
      <w:r>
        <w:t>market_size: 60,000,000</w:t>
      </w:r>
    </w:p>
    <w:p>
      <w:pPr>
        <w:pStyle w:val="IntenseQuote"/>
      </w:pPr>
      <w:r>
        <w:t>المصدر: UN Comtrade | سُحب: 2026-07-08 | ثقة: 0.9</w:t>
      </w:r>
    </w:p>
    <w:p>
      <w:r>
        <w:t>saudi_position: 30.0</w:t>
      </w:r>
    </w:p>
    <w:p>
      <w:pPr>
        <w:pStyle w:val="IntenseQuote"/>
      </w:pPr>
      <w:r>
        <w:t>المصدر: UN Comtrade | سُحب: 2026-07-08 | ثقة: 0.9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2026-07-08 | ثقة: 0.0</w:t>
      </w:r>
    </w:p>
    <w:p>
      <w:r>
        <w:t>competition: 0.38</w:t>
      </w:r>
    </w:p>
    <w:p>
      <w:pPr>
        <w:pStyle w:val="IntenseQuote"/>
      </w:pPr>
      <w:r>
        <w:t>المصدر: UN Comtrade | سُحب: 2026-07-08 | ثقة: 0.9</w:t>
      </w:r>
    </w:p>
    <w:p>
      <w:pPr>
        <w:pStyle w:val="Heading1"/>
      </w:pPr>
      <w:r>
        <w:t>تغطية المصادر حسب القسم</w:t>
      </w:r>
    </w:p>
    <w:p>
      <w:r>
        <w:t>حجم السوق والمنافسة: 3/3 (درجة 1.0) ⚠ مصدر واحد — ثقة منخفضة</w:t>
      </w:r>
    </w:p>
    <w:p>
      <w:r>
        <w:t>الاشتراطات والتعريفة: 3/4 (درجة 0.75) ⚠ مصدر واحد — ثقة منخفضة</w:t>
      </w:r>
    </w:p>
    <w:p>
      <w:r>
        <w:t>المنافسون بالاسم: 0/0 (درجة 0.0) ⚠ مصدر واحد — ثقة منخفضة</w:t>
      </w:r>
    </w:p>
    <w:p>
      <w:r>
        <w:t>الأسعار: 0/0 (درجة 0.0) ⚠ مصدر واحد — ثقة منخفضة</w:t>
      </w:r>
    </w:p>
    <w:p>
      <w:r>
        <w:t>الطلب والقدرة: 0/1 (درجة 0.0) ⚠ مصدر واحد — ثقة منخفضة</w:t>
      </w:r>
    </w:p>
    <w:p>
      <w:r>
        <w:t>المخاطر: 0/4 (درجة 0.0) ⚠ مصدر واحد — ثقة منخفضة</w:t>
      </w:r>
    </w:p>
    <w:p>
      <w:r>
        <w:t>الاتجاه: 0/0 (درجة 0.0) ⚠ مصدر واحد — ثقة منخفضة</w:t>
      </w:r>
    </w:p>
    <w:p>
      <w:pPr>
        <w:pStyle w:val="Heading1"/>
      </w:pPr>
      <w:r>
        <w:t>ملحق: أثر المصادر (المحاولات والإسهام)</w:t>
      </w:r>
    </w:p>
    <w:p>
      <w:r>
        <w:t>UN Comtrade: أسهم 9 من 9 محاولة</w:t>
      </w:r>
    </w:p>
    <w:p>
      <w:r>
        <w:t>Silk L1 requirements reference (official portals / EUR-Lex): أسهم 6 من 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4 من 4 محاولة</w:t>
      </w:r>
    </w:p>
    <w:p>
      <w:r>
        <w:t>Pew Research Center (لقطة ساكنة مقرّبة): أسهم 2 من 2 محاولة</w:t>
      </w:r>
    </w:p>
    <w:p>
      <w:r>
        <w:t>World Bank: أسهم 0 من 5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PV.EST fetch failed for CHN: HTTPSConnectionPool(host='api.worldbank.org', port=443): Max retries exceeded with ur</w:t>
      </w:r>
    </w:p>
    <w:p>
      <w:pPr>
        <w:pStyle w:val="IntenseQuote"/>
      </w:pPr>
      <w:r>
        <w:t xml:space="preserve">    فشل مُسجَّل: جودة التنظيم (WGI) — RQ.EST fetch failed for CHN: HTTPSConnectionPool(host='api.worldbank.org', port=443): Max retries exceeded with url: /v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China: demand_capacity missing (no income/population signal)</w:t>
      </w:r>
    </w:p>
    <w:p>
      <w:pPr>
        <w:pStyle w:val="Heading1"/>
      </w:pPr>
      <w:r>
        <w:t>التوصية الأوّلية</w:t>
      </w:r>
    </w:p>
    <w:p>
      <w:r>
        <w:t>القرار: CONDITIONAL-GO (ثقة 0.31) — China</w:t>
      </w:r>
    </w:p>
    <w:p>
      <w:r>
        <w:t>أضف بطاقة منتجك (product_card) للحصول على موقعك التنافسي</w:t>
      </w:r>
    </w:p>
    <w:p>
      <w:r>
        <w:t>نتيجة مبدئية مبنية على بيانات عامة حقيقية؛ النواقص معلّمة لا مُخمّنة. Preliminary, real public data only; gaps flagged, not estimated.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