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سِلك — تقرير سوق: تمور</w:t>
      </w:r>
    </w:p>
    <w:p>
      <w:pPr>
        <w:pStyle w:val="Heading1"/>
      </w:pPr>
      <w:r>
        <w:t>الخلاصة التنفيذية</w:t>
      </w:r>
    </w:p>
    <w:p>
      <w:r>
        <w:t>القرار: NO-GO (insufficient data) — قرار مؤجّل لانعدام البيانات (ثقة 0.0) — السوق الأول: United Arab Emirates</w:t>
      </w:r>
    </w:p>
    <w:p>
      <w:r>
        <w:t>لماذا: تغطية الوكلاء 0/3 وفجوات: TradeFlowAgent, EconomicAgent, CompetitionAgent</w:t>
      </w:r>
    </w:p>
    <w:p>
      <w:r>
        <w:t>رمز HS: 080410 (ثقة التصنيف 1.0) | سنة البيانات: 2022 | النتيجة أوّلية لا نهائية.</w:t>
      </w:r>
    </w:p>
    <w:p>
      <w:pPr>
        <w:pStyle w:val="Heading1"/>
      </w:pPr>
      <w:r>
        <w:t>موقعك التنافسي</w:t>
      </w:r>
    </w:p>
    <w:p>
      <w:r>
        <w:t>لا مرشحي منافسين مرصودين — فعّل with_competitors (وwith_localprice للأسعار)</w:t>
      </w:r>
    </w:p>
    <w:p>
      <w:pPr>
        <w:pStyle w:val="Heading1"/>
      </w:pPr>
      <w:r>
        <w:t>أسعار المنتجات في السوق</w:t>
      </w:r>
    </w:p>
    <w:p>
      <w:r>
        <w:t>غير مرصود — يتطلب طبقة أسعار السوق (LOCALPRICE_API_KEY) عبر «الدراسة العميقة»</w:t>
      </w:r>
    </w:p>
    <w:p>
      <w:pPr>
        <w:pStyle w:val="Heading1"/>
      </w:pPr>
      <w:r>
        <w:t>المنافسون</w:t>
      </w:r>
    </w:p>
    <w:p>
      <w:r>
        <w:t>غير مرصود — الدول المورّدة تتطلب Comtrade (شبكة)؛ والشركات بالاسم تتطلب مفتاح بحث (SEARCH_API_KEY).</w:t>
      </w:r>
    </w:p>
    <w:p>
      <w:pPr>
        <w:pStyle w:val="Heading1"/>
      </w:pPr>
      <w:r>
        <w:t>الموردون والأعمال بالاسم</w:t>
      </w:r>
    </w:p>
    <w:p>
      <w:r>
        <w:t>غير مرصود — يتطلب Google Maps / Volza / explee (مفاتيح)</w:t>
      </w:r>
    </w:p>
    <w:p>
      <w:pPr>
        <w:pStyle w:val="Heading1"/>
      </w:pPr>
      <w:r>
        <w:t>اتجاه الاستيراد متعدد السنوات</w:t>
      </w:r>
    </w:p>
    <w:p>
      <w:r>
        <w:t>غير مرصود — فعّل «مدى السنوات» (with_trend) وتحقّق من الشبكة.</w:t>
      </w:r>
    </w:p>
    <w:p>
      <w:pPr>
        <w:pStyle w:val="Heading1"/>
      </w:pPr>
      <w:r>
        <w:t>ثقافة المستهلك ونبض السوق</w:t>
      </w:r>
    </w:p>
    <w:p>
      <w:r>
        <w:t>غير مرصود — يتطلب مفتاح بحث الويب (SEARCH_API_KEY).</w:t>
      </w:r>
    </w:p>
    <w:p>
      <w:pPr>
        <w:pStyle w:val="Heading1"/>
      </w:pPr>
      <w:r>
        <w:t>الأسواق المرشّحة (الأفضل أولاً)</w:t>
      </w:r>
    </w:p>
    <w:p>
      <w:pPr>
        <w:pStyle w:val="Heading2"/>
      </w:pPr>
      <w:r>
        <w:t>1. United Arab Emirates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2"/>
      </w:pPr>
      <w:r>
        <w:t>2. Qatar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2"/>
      </w:pPr>
      <w:r>
        <w:t>3. Kuwait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2"/>
      </w:pPr>
      <w:r>
        <w:t>4. Oman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2"/>
      </w:pPr>
      <w:r>
        <w:t>5. Bahrain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2"/>
      </w:pPr>
      <w:r>
        <w:t>6. Jordan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2"/>
      </w:pPr>
      <w:r>
        <w:t>7. Lebanon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2"/>
      </w:pPr>
      <w:r>
        <w:t>8. Egypt — نقاط 0.0 (ثقة 0.0)</w:t>
      </w:r>
    </w:p>
    <w:p>
      <w:r>
        <w:t>market_size: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saudi_position: — (لا بيانات)</w:t>
      </w:r>
    </w:p>
    <w:p>
      <w:pPr>
        <w:pStyle w:val="IntenseQuote"/>
      </w:pPr>
      <w:r>
        <w:t>المصدر: UN Comtrade | سُحب: 2026-07-05 | ثقة: 0.0</w:t>
      </w:r>
    </w:p>
    <w:p>
      <w:r>
        <w:t>demand_capacity: — (لا بيانات)</w:t>
      </w:r>
    </w:p>
    <w:p>
      <w:pPr>
        <w:pStyle w:val="IntenseQuote"/>
      </w:pPr>
      <w:r>
        <w:t>المصدر: World Bank | سُحب: 2026-07-05 | ثقة: 0.0</w:t>
      </w:r>
    </w:p>
    <w:p>
      <w:r>
        <w:t>competition: — (لا بيانات)</w:t>
      </w:r>
    </w:p>
    <w:p>
      <w:pPr>
        <w:pStyle w:val="IntenseQuote"/>
      </w:pPr>
      <w:r>
        <w:t>المصدر: UN Comtrade | سُحب: 2026-07-05 | ثقة: 0.0</w:t>
      </w:r>
    </w:p>
    <w:p>
      <w:pPr>
        <w:pStyle w:val="Heading1"/>
      </w:pPr>
      <w:r>
        <w:t>حدود هذا التقرير</w:t>
      </w:r>
    </w:p>
    <w:p>
      <w:pPr>
        <w:pStyle w:val="ListBullet"/>
      </w:pPr>
      <w:r>
        <w:t>United Arab Emirates: all components missing — no usable data for this market</w:t>
      </w:r>
    </w:p>
    <w:p>
      <w:pPr>
        <w:pStyle w:val="ListBullet"/>
      </w:pPr>
      <w:r>
        <w:t>Qatar: all components missing — no usable data for this market</w:t>
      </w:r>
    </w:p>
    <w:p>
      <w:pPr>
        <w:pStyle w:val="ListBullet"/>
      </w:pPr>
      <w:r>
        <w:t>Kuwait: all components missing — no usable data for this market</w:t>
      </w:r>
    </w:p>
    <w:p>
      <w:pPr>
        <w:pStyle w:val="ListBullet"/>
      </w:pPr>
      <w:r>
        <w:t>Oman: all components missing — no usable data for this market</w:t>
      </w:r>
    </w:p>
    <w:p>
      <w:pPr>
        <w:pStyle w:val="ListBullet"/>
      </w:pPr>
      <w:r>
        <w:t>Bahrain: all components missing — no usable data for this market</w:t>
      </w:r>
    </w:p>
    <w:p>
      <w:pPr>
        <w:pStyle w:val="Heading1"/>
      </w:pPr>
      <w:r>
        <w:t>التوصية الأوّلية</w:t>
      </w:r>
    </w:p>
    <w:p>
      <w:r>
        <w:t>القرار: NO-GO (insufficient data) — قرار مؤجّل لانعدام البيانات (ثقة 0.0) — United Arab Emirates</w:t>
      </w:r>
    </w:p>
    <w:p>
      <w:r>
        <w:t>لا منافس بسعر مرصود بعد — فعّل with_localprice/deepen</w:t>
      </w:r>
    </w:p>
    <w:p>
      <w:r>
        <w:t>لا أبواب دخول مرصودة — فعّل with_channels</w:t>
      </w:r>
    </w:p>
    <w:p>
      <w:r>
        <w:t>نتيجة مبدئية مبنية على بيانات عامة حقيقية؛ النواقص معلّمة لا مُخمّنة. Preliminary, real public data only; gaps flagged, not estimated.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