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ملخّص مصادر البحث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ملخّص مصادر البحث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تدفقات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تحليل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قنوات التوزيع والاستيراد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تقييم المخاطر والمستجدات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الفرص الاستراتيجية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'الفرص الاستراتيجية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pPr>
        <w:pStyle w:val="Heading4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2,090,000 نسمة). (ب) التموضع بين طبقة Carrefour المتوسطة (8.90€) وطبقة</w:t>
      </w:r>
    </w:p>
    <w:p>
      <w:r>
        <w:t>الفاخر (13.50€) وفق سلّم الأسعار المرصود، بهامش تقديري 1.2-2.0 يورو/كغم</w:t>
      </w:r>
    </w:p>
    <w:p>
      <w:r>
        <w:t>بعد تكلفة الهبوط 9.2€ عند القناة المتخصصة حصراً.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تدفقات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قنوات التوزيع والاستيراد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تقييم المخاطر والمستجدات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الديموغرافيا والاقتصاد الكلي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