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سوق: تمور</w:t>
      </w:r>
    </w:p>
    <w:p>
      <w:r>
        <w:t>⚠ TEST RUN — تشغيل برهاني ببدائل موسومة، ليس تقريراً إنتاجياً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China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2026-07-14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سنة البيانات</w:t>
            </w:r>
          </w:p>
        </w:tc>
        <w:tc>
          <w:tcPr>
            <w:tcW w:type="dxa" w:w="4320"/>
            <w:shd w:val="clear" w:fill="F2F2F2"/>
          </w:tcPr>
          <w:p>
            <w:r>
              <w:t>2023</w:t>
            </w:r>
          </w:p>
        </w:tc>
      </w:tr>
      <w:tr>
        <w:tc>
          <w:tcPr>
            <w:tcW w:type="dxa" w:w="4320"/>
          </w:tcPr>
          <w:p>
            <w:r>
              <w:t>تغطية البيانات</w:t>
            </w:r>
          </w:p>
        </w:tc>
        <w:tc>
          <w:tcPr>
            <w:tcW w:type="dxa" w:w="4320"/>
          </w:tcPr>
          <w:p>
            <w:r>
              <w:t>42.1%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منهجية البحث</w:t>
      </w:r>
    </w:p>
    <w:p>
      <w:r>
        <w:t>3. تعريف السوق ونطاقه</w:t>
      </w:r>
    </w:p>
    <w:p>
      <w:r>
        <w:t>4. نظرة عامة على السوق</w:t>
      </w:r>
    </w:p>
    <w:p>
      <w:r>
        <w:t>5. ديناميكيات السوق</w:t>
      </w:r>
    </w:p>
    <w:p>
      <w:r>
        <w:t>6. حجم السوق والتوقعات</w:t>
      </w:r>
    </w:p>
    <w:p>
      <w:r>
        <w:t>7. تحليل التقسيم</w:t>
      </w:r>
    </w:p>
    <w:p>
      <w:r>
        <w:t>8. تحليل التجارة (استيراد/تصدير)</w:t>
      </w:r>
    </w:p>
    <w:p>
      <w:r>
        <w:t>9. التحليل الإقليمي</w:t>
      </w:r>
    </w:p>
    <w:p>
      <w:r>
        <w:t>10. المشهد التنافسي</w:t>
      </w:r>
    </w:p>
    <w:p>
      <w:r>
        <w:t>11. استخبارات العميل والطلب</w:t>
      </w:r>
    </w:p>
    <w:p>
      <w:r>
        <w:t>12. المشهد التنظيمي والمخاطر</w:t>
      </w:r>
    </w:p>
    <w:p>
      <w:r>
        <w:t>13. الاتجاهات والتوقع المستقبلي</w:t>
      </w:r>
    </w:p>
    <w:p>
      <w:r>
        <w:t>14. التوصيات الاستراتيجية</w:t>
      </w:r>
    </w:p>
    <w:p>
      <w:r>
        <w:t>الملحق (تغطية المصادر وأثرها)</w:t>
      </w:r>
    </w:p>
    <w:p>
      <w:pPr>
        <w:pStyle w:val="Heading1"/>
      </w:pPr>
      <w:r>
        <w:t>١. الخلاصة التنفيذية</w:t>
      </w:r>
    </w:p>
    <w:p>
      <w: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</w:pPr>
      <w:r>
        <w:t>٢. منهجية البحث</w:t>
      </w:r>
    </w:p>
    <w:p>
      <w:pPr>
        <w:pStyle w:val="ListBullet"/>
      </w:pPr>
      <w:r>
        <w:t>سنة البيانات المعتمدة: 2023.</w:t>
      </w:r>
    </w:p>
    <w:p>
      <w:pPr>
        <w:pStyle w:val="ListBullet"/>
      </w:pPr>
      <w:r>
        <w:t>تغطية البيانات الإجمالية لهذا التحليل: 42.1%.</w:t>
      </w:r>
    </w:p>
    <w:p>
      <w:pPr>
        <w:pStyle w:val="ListBullet"/>
      </w:pPr>
      <w: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</w:pPr>
      <w:r>
        <w:t>كل رقم في هذا التقرير يُعرض مع مصدره وتاريخ سحبه؛ القيمة غير المتاحة تُعرض «—».</w:t>
      </w:r>
    </w:p>
    <w:p>
      <w:pPr>
        <w:pStyle w:val="ListBullet"/>
      </w:pPr>
      <w:r>
        <w:t>بوابة كفاية البيانات: 2/3 وكلاء أساسيون لديهم بيانات؛ فجوات: المؤشرات الاقتصادية</w:t>
      </w:r>
    </w:p>
    <w:p>
      <w:pPr>
        <w:pStyle w:val="ListBullet"/>
      </w:pPr>
      <w:r>
        <w:t>هذه قراءة أولية مبنية على البيانات العامة المتاحة وقت الإعداد.</w:t>
      </w:r>
    </w:p>
    <w:p>
      <w:pPr>
        <w:pStyle w:val="Heading1"/>
      </w:pPr>
      <w:r>
        <w:t>٣. تعريف السوق ونطاقه</w:t>
      </w:r>
    </w:p>
    <w:p>
      <w:r>
        <w:t>يشمل هذا التقرير: صادرات تمور (رمز HS 080410) من المملكة العربية السعودية، مُقيَّمة عبر 2 أسواق مرشّحة، ومفصَّلة بعمق للسوق الأعلى ترتيباً (China).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1"/>
      </w:pPr>
      <w:r>
        <w:t>٤. نظرة عامة على السوق</w:t>
      </w:r>
    </w:p>
    <w:p>
      <w:r>
        <w:t>لم تُجمع إشارات نوعية عن حالة الصناعة في هذا التشغيل — يتطلب مفتاح بحث الويب.</w:t>
      </w:r>
    </w:p>
    <w:p>
      <w:pPr>
        <w:pStyle w:val="Heading1"/>
      </w:pPr>
      <w:r>
        <w:t>٥. ديناميكيات السوق</w:t>
      </w:r>
    </w:p>
    <w:p>
      <w: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</w:pPr>
      <w:r>
        <w:t>٦. حجم السوق والتوقعات</w:t>
      </w:r>
    </w:p>
    <w:p>
      <w:pPr>
        <w:pStyle w:val="Heading2"/>
      </w:pPr>
      <w:r>
        <w:t>حجم السوق — TAM/SAM/SOM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tam_usd</w:t>
            </w:r>
          </w:p>
        </w:tc>
        <w:tc>
          <w:tcPr>
            <w:tcW w:type="dxa" w:w="2160"/>
          </w:tcPr>
          <w:p>
            <w:r>
              <w:t>60,000,000 USD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| سُحب: 2026-07-14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import_growth_pct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رصد مباشر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2026-07-14 | ثقة: عالية (90%)</w:t>
            </w:r>
          </w:p>
        </w:tc>
      </w:tr>
      <w:tr>
        <w:tc>
          <w:tcPr>
            <w:tcW w:type="dxa" w:w="2160"/>
          </w:tcPr>
          <w:p>
            <w:r>
              <w:t>import_cagr_pct</w:t>
            </w:r>
          </w:p>
        </w:tc>
        <w:tc>
          <w:tcPr>
            <w:tcW w:type="dxa" w:w="2160"/>
          </w:tcPr>
          <w:p>
            <w:r>
              <w:t>22.5 %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(مخزن الحقائق) | سُحب: 2026-07-14 | ثقة: عالية (90%)</w:t>
            </w:r>
          </w:p>
        </w:tc>
      </w:tr>
    </w:tbl>
    <w:p>
      <w:pPr>
        <w:pStyle w:val="ListBullet"/>
      </w:pPr>
      <w:r>
        <w:t>غير متوفر: السوق القابل للخدمة (SAM): يتطلب TAM مرصوداً + شريحة tier في بطاقة المنتج (premium/mid/mass)</w:t>
      </w:r>
    </w:p>
    <w:p>
      <w:pPr>
        <w:pStyle w:val="ListBullet"/>
      </w:pPr>
      <w:r>
        <w:t>غير متوفر: الحصة القابلة للتحصيل (SOM): يتطلب طاقة شهرية في بطاقة المنتج + قيمة وحدة حدودية مرصودة (قيمة/وزن كومتريد)</w:t>
      </w:r>
    </w:p>
    <w:p>
      <w:pPr>
        <w:pStyle w:val="Heading1"/>
      </w:pPr>
      <w:r>
        <w:t>٧. تحليل التقسيم</w:t>
      </w:r>
    </w:p>
    <w:p>
      <w:pPr>
        <w:pStyle w:val="Heading2"/>
      </w:pPr>
      <w:r>
        <w:t>شرائح العملاء</w:t>
      </w:r>
    </w:p>
    <w:p>
      <w:pPr>
        <w:pStyle w:val="ListBullet"/>
      </w:pPr>
      <w:r>
        <w:t>شريحة الحلال/رمضان: 2.0% من السكان — الأساس: مرجع Pew الساكن — muslim_share_pct</w:t>
      </w:r>
    </w:p>
    <w:p>
      <w:pPr>
        <w:pStyle w:val="Heading1"/>
      </w:pPr>
      <w:r>
        <w:t>٨. تحليل التجارة (استيراد/تصدير)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2880"/>
          </w:tcPr>
          <w:p>
            <w:r>
              <w:t>Iran</w:t>
            </w:r>
          </w:p>
        </w:tc>
        <w:tc>
          <w:tcPr>
            <w:tcW w:type="dxa" w:w="2880"/>
          </w:tcPr>
          <w:p>
            <w:r>
              <w:t>50%</w:t>
            </w:r>
          </w:p>
        </w:tc>
        <w:tc>
          <w:tcPr>
            <w:tcW w:type="dxa" w:w="2880"/>
          </w:tcPr>
          <w:p>
            <w:r>
              <w:t>30.0 مليون دولار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Saudi Arabia</w:t>
            </w:r>
          </w:p>
        </w:tc>
        <w:tc>
          <w:tcPr>
            <w:tcW w:type="dxa" w:w="2880"/>
            <w:shd w:val="clear" w:fill="F2F2F2"/>
          </w:tcPr>
          <w:p>
            <w:r>
              <w:t>30%</w:t>
            </w:r>
          </w:p>
        </w:tc>
        <w:tc>
          <w:tcPr>
            <w:tcW w:type="dxa" w:w="2880"/>
            <w:shd w:val="clear" w:fill="F2F2F2"/>
          </w:tcPr>
          <w:p>
            <w:r>
              <w:t>18.0 مليون دولار</w:t>
            </w:r>
          </w:p>
        </w:tc>
      </w:tr>
      <w:tr>
        <w:tc>
          <w:tcPr>
            <w:tcW w:type="dxa" w:w="2880"/>
          </w:tcPr>
          <w:p>
            <w:r>
              <w:t>Tunisia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12.0 مليون دولار</w:t>
            </w:r>
          </w:p>
        </w:tc>
      </w:tr>
    </w:tbl>
    <w:p>
      <w:pPr>
        <w:pStyle w:val="IntenseQuote"/>
      </w:pPr>
      <w:r>
        <w:t>المصدر: UN Comtrade</w:t>
      </w:r>
    </w:p>
    <w:p>
      <w:pPr>
        <w:pStyle w:val="Heading1"/>
      </w:pPr>
      <w:r>
        <w:t>٩. التحليل الإقليمي (الأسواق المرشّحة)</w:t>
      </w:r>
    </w:p>
    <w:p>
      <w:pPr>
        <w:pStyle w:val="Heading2"/>
      </w:pPr>
      <w:r>
        <w:t>٩.1 China</w:t>
      </w:r>
    </w:p>
    <w:p>
      <w:pPr>
        <w:pStyle w:val="ListBullet"/>
      </w:pPr>
      <w:r>
        <w:t>يستورد السوق ما قيمته 60.0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30%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2"/>
      </w:pPr>
      <w:r>
        <w:t>٩.2 United Arab Emirates</w:t>
      </w:r>
    </w:p>
    <w:p>
      <w:pPr>
        <w:pStyle w:val="ListBullet"/>
      </w:pPr>
      <w:r>
        <w:t>يستورد السوق ما قيمته 20.0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100%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1"/>
      </w:pPr>
      <w:r>
        <w:t>١٠. المشهد التنافسي</w:t>
      </w:r>
    </w:p>
    <w:p>
      <w:pPr>
        <w:pStyle w:val="Heading3"/>
      </w:pPr>
      <w:r>
        <w:t>شركات بالاسم (مرشّحون غير موثَّقين)</w:t>
      </w:r>
    </w:p>
    <w:p>
      <w:r>
        <w:t>لا شركات مرصودة بالاسم في هذا التشغيل (أسماء الأعمال تأتي من Google Places حصراً)</w:t>
      </w:r>
    </w:p>
    <w:p>
      <w:r>
        <w:t>الطبقة الدولية (تركّز الموردين — UN Comtrade):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ملاحظة</w:t>
            </w:r>
          </w:p>
        </w:tc>
      </w:tr>
      <w:tr>
        <w:tc>
          <w:tcPr>
            <w:tcW w:type="dxa" w:w="2160"/>
          </w:tcPr>
          <w:p>
            <w:r>
              <w:t>hhi</w:t>
            </w:r>
          </w:p>
        </w:tc>
        <w:tc>
          <w:tcPr>
            <w:tcW w:type="dxa" w:w="2160"/>
          </w:tcPr>
          <w:p>
            <w:r>
              <w:t>0.38</w:t>
            </w:r>
          </w:p>
        </w:tc>
        <w:tc>
          <w:tcPr>
            <w:tcW w:type="dxa" w:w="2160"/>
          </w:tcPr>
          <w:p>
            <w:r>
              <w:t>UN Comtrade | سُحب: 2026-07-14 | ثقة: عالية (90%)</w:t>
            </w:r>
          </w:p>
        </w:tc>
        <w:tc>
          <w:tcPr>
            <w:tcW w:type="dxa" w:w="2160"/>
          </w:tcPr>
          <w:p>
            <w: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top_supplier_share_pct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UN Comtrade | سُحب: 2026-07-14 | ثقة: عالية (90%)</w:t>
            </w:r>
          </w:p>
        </w:tc>
        <w:tc>
          <w:tcPr>
            <w:tcW w:type="dxa" w:w="2160"/>
            <w:shd w:val="clear" w:fill="F2F2F2"/>
          </w:tcPr>
          <w:p>
            <w:r>
              <w:t>حصة المورّد الأكبر: Iran</w:t>
            </w:r>
          </w:p>
        </w:tc>
      </w:tr>
      <w:tr>
        <w:tc>
          <w:tcPr>
            <w:tcW w:type="dxa" w:w="2160"/>
          </w:tcPr>
          <w:p>
            <w:r>
              <w:t>saudi_share_pct</w:t>
            </w:r>
          </w:p>
        </w:tc>
        <w:tc>
          <w:tcPr>
            <w:tcW w:type="dxa" w:w="2160"/>
          </w:tcPr>
          <w:p>
            <w:r>
              <w:t>30.0 %</w:t>
            </w:r>
          </w:p>
        </w:tc>
        <w:tc>
          <w:tcPr>
            <w:tcW w:type="dxa" w:w="2160"/>
          </w:tcPr>
          <w:p>
            <w:r>
              <w:t>UN Comtrade | سُحب: 2026-07-14 | ثقة: عالية (90%)</w:t>
            </w:r>
          </w:p>
        </w:tc>
        <w:tc>
          <w:tcPr>
            <w:tcW w:type="dxa" w:w="2160"/>
          </w:tcPr>
          <w:p>
            <w: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2"/>
      </w:pPr>
      <w:r>
        <w:t>تحليل SWOT (قاعدي من حقائق مرصودة)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القوة</w:t>
            </w:r>
          </w:p>
          <w:p>
            <w:pPr>
              <w:pStyle w:val="ListBullet"/>
            </w:pPr>
            <w:r>
              <w:t>حضور سعودي قائم بحصة 30.0% من واردات السوق — الدليل: UN Comtrade — saudi_share_pct</w:t>
            </w:r>
          </w:p>
          <w:p>
            <w:pPr>
              <w:pStyle w:val="ListBullet"/>
            </w:pPr>
            <w: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الضعف</w:t>
            </w:r>
          </w:p>
          <w:p>
            <w:pPr>
              <w:pStyle w:val="ListBullet"/>
            </w:pPr>
            <w:r>
              <w:t>الهامش غير محسوب — بطاقة المنتج غير مكتملة — الدليل: margin_at_border_pct: يتطلب بطاقة منتج بوحدة kg (cost_per_unit) + قيمة وحدة حدودية مرصودة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الفرص</w:t>
            </w:r>
          </w:p>
          <w:p>
            <w:pPr>
              <w:pStyle w:val="ListBullet"/>
            </w:pPr>
            <w:r>
              <w:t>واردات السوق تنمو 22.5% سنوياً مركّباً — الدليل: UN Comtrade — import_cagr_pct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التهديدات</w:t>
            </w:r>
          </w:p>
          <w:p>
            <w:r>
              <w:t>—</w:t>
            </w:r>
          </w:p>
        </w:tc>
      </w:tr>
    </w:tbl>
    <w:p>
      <w:r>
        <w:t>خلايا مشتقة من الحقائق المتاحة — الخلية الفارغة تعني غياب البيانات، لا سلامة الجانب</w:t>
      </w:r>
    </w:p>
    <w:p>
      <w:pPr>
        <w:pStyle w:val="Heading2"/>
      </w:pPr>
      <w:r>
        <w:t>التسعير بطبقتيه</w:t>
      </w:r>
    </w:p>
    <w:p>
      <w:r>
        <w:t>الطبقة الحدودية (قيم وحدة كومتريد):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border_unit_value_usd_kg</w:t>
            </w:r>
          </w:p>
        </w:tc>
        <w:tc>
          <w:tcPr>
            <w:tcW w:type="dxa" w:w="2160"/>
          </w:tcPr>
          <w:p>
            <w:r>
              <w:t>3.0 USD/kg</w:t>
            </w:r>
          </w:p>
        </w:tc>
        <w:tc>
          <w:tcPr>
            <w:tcW w:type="dxa" w:w="2160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</w:tcPr>
          <w:p>
            <w:r>
              <w:t>UN Comtrade (مخزن الحقائق) | سُحب: 2026-07-14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saudi_border_unit_value_usd_kg</w:t>
            </w:r>
          </w:p>
        </w:tc>
        <w:tc>
          <w:tcPr>
            <w:tcW w:type="dxa" w:w="2160"/>
            <w:shd w:val="clear" w:fill="F2F2F2"/>
          </w:tcPr>
          <w:p>
            <w:r>
              <w:t>2.25 USD/kg</w:t>
            </w:r>
          </w:p>
        </w:tc>
        <w:tc>
          <w:tcPr>
            <w:tcW w:type="dxa" w:w="2160"/>
            <w:shd w:val="clear" w:fill="F2F2F2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2026-07-14 | ثقة: عالية (85%)</w:t>
            </w:r>
          </w:p>
        </w:tc>
      </w:tr>
      <w:tr>
        <w:tc>
          <w:tcPr>
            <w:tcW w:type="dxa" w:w="2160"/>
          </w:tcPr>
          <w:p>
            <w:r>
              <w:t>margin_at_border_pct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IntenseQuote"/>
      </w:pPr>
      <w:r>
        <w:t>معادلة «border_unit_value_usd_kg»: قيمة الوحدة = قيمة الواردات ÷ الوزن الصافي (كلاهما مرصود من كومتريد)</w:t>
      </w:r>
    </w:p>
    <w:p>
      <w:pPr>
        <w:pStyle w:val="IntenseQuote"/>
      </w:pPr>
      <w:r>
        <w:t>معادلة «saudi_border_unit_value_usd_kg»: قيمة وحدة الصادر السعودي = قيمة ÷ وزن صافٍ (تقرير الجهة المستوردة أو التقرير السعودي المباشر — مرآة)</w:t>
      </w:r>
    </w:p>
    <w:p>
      <w:r>
        <w:t>طبقة التجزئة:</w:t>
      </w:r>
    </w:p>
    <w:p>
      <w:pPr>
        <w:pStyle w:val="ListBullet"/>
      </w:pPr>
      <w: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(Serper))</w:t>
      </w:r>
    </w:p>
    <w:p>
      <w:r>
        <w:t>مراجع الأسعار: غير مرصودة</w:t>
      </w:r>
    </w:p>
    <w:p>
      <w:pPr>
        <w:pStyle w:val="Heading2"/>
      </w:pPr>
      <w:r>
        <w:t>موقعك التنافسي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١١. استخبارات العميل والطلب</w:t>
      </w:r>
    </w:p>
    <w:p>
      <w:r>
        <w:t>—</w:t>
      </w:r>
    </w:p>
    <w:p>
      <w: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</w:pPr>
      <w:r>
        <w:t>١٢. المشهد التنظيمي والمخاطر</w:t>
      </w:r>
    </w:p>
    <w:p>
      <w:pPr>
        <w:pStyle w:val="Heading2"/>
      </w:pPr>
      <w:r>
        <w:t>الاشتراطات التنظيمية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الجهة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الاتجاه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الرابط</w:t>
            </w:r>
          </w:p>
        </w:tc>
      </w:tr>
      <w:tr>
        <w:tc>
          <w:tcPr>
            <w:tcW w:type="dxa" w:w="2160"/>
          </w:tcPr>
          <w:p>
            <w:r>
              <w:t>شهادة المنشأ السعودية للصادرات (وزارة التجارة / الغرف التجارية)</w:t>
            </w:r>
          </w:p>
        </w:tc>
        <w:tc>
          <w:tcPr>
            <w:tcW w:type="dxa" w:w="2160"/>
          </w:tcPr>
          <w:p>
            <w:r>
              <w:t>وزارة التجارة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https://mc.gov.sa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160"/>
            <w:shd w:val="clear" w:fill="F2F2F2"/>
          </w:tcPr>
          <w:p>
            <w:r>
              <w:t>الهيئة العامة للغذاء والدواء SFDA</w:t>
            </w:r>
          </w:p>
        </w:tc>
        <w:tc>
          <w:tcPr>
            <w:tcW w:type="dxa" w:w="2160"/>
            <w:shd w:val="clear" w:fill="F2F2F2"/>
          </w:tcPr>
          <w:p>
            <w:r>
              <w:t>exit</w:t>
            </w:r>
          </w:p>
        </w:tc>
        <w:tc>
          <w:tcPr>
            <w:tcW w:type="dxa" w:w="2160"/>
            <w:shd w:val="clear" w:fill="F2F2F2"/>
          </w:tcPr>
          <w:p>
            <w:r>
              <w:t>https://www.sfda.gov.sa</w:t>
            </w:r>
          </w:p>
        </w:tc>
      </w:tr>
      <w:tr>
        <w:tc>
          <w:tcPr>
            <w:tcW w:type="dxa" w:w="2160"/>
          </w:tcPr>
          <w:p>
            <w: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160"/>
          </w:tcPr>
          <w:p>
            <w:r>
              <w:t>هيئة تنمية الصادرات السعودية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https://saudiexports.sa</w:t>
            </w:r>
          </w:p>
        </w:tc>
      </w:tr>
    </w:tbl>
    <w:p>
      <w:pPr>
        <w:pStyle w:val="IntenseQuote"/>
      </w:pPr>
      <w:r>
        <w:t>المصدر: Silk L1 requirements reference (official portals / EUR-Lex) | سُحب: 2026-07-14 | ثقة: عالية (80%)</w:t>
      </w:r>
    </w:p>
    <w:p>
      <w:pPr>
        <w:pStyle w:val="ListBullet"/>
      </w:pPr>
      <w:r>
        <w:t>غير متوفر: التعريفة الجمركية المطبّقة: WITS غير متاح الآن (ProxyError) لـHS080410 SAU←CHN 2023 — أعد المحاولة لاحقاً.</w:t>
      </w:r>
    </w:p>
    <w:p>
      <w:pPr>
        <w:pStyle w:val="Heading2"/>
      </w:pPr>
      <w:r>
        <w:t>سجل المخاطر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الخطر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الشدة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الدليل</w:t>
            </w:r>
          </w:p>
        </w:tc>
      </w:tr>
      <w:tr>
        <w:tc>
          <w:tcPr>
            <w:tcW w:type="dxa" w:w="2880"/>
          </w:tcPr>
          <w:p>
            <w:r>
              <w:t>تركّز مصادر التوريد</w:t>
            </w:r>
          </w:p>
        </w:tc>
        <w:tc>
          <w:tcPr>
            <w:tcW w:type="dxa" w:w="2880"/>
          </w:tcPr>
          <w:p>
            <w:r>
              <w:t>متوسطة</w:t>
            </w:r>
          </w:p>
        </w:tc>
        <w:tc>
          <w:tcPr>
            <w:tcW w:type="dxa" w:w="2880"/>
          </w:tcPr>
          <w:p>
            <w:r>
              <w:t>HHI=0.38 &gt; 0.25 (كومتريد)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تغطية بيانات منخفضة</w:t>
            </w:r>
          </w:p>
        </w:tc>
        <w:tc>
          <w:tcPr>
            <w:tcW w:type="dxa" w:w="2880"/>
            <w:shd w:val="clear" w:fill="F2F2F2"/>
          </w:tcPr>
          <w:p>
            <w:r>
              <w:t>متوسطة</w:t>
            </w:r>
          </w:p>
        </w:tc>
        <w:tc>
          <w:tcPr>
            <w:tcW w:type="dxa" w:w="2880"/>
            <w:shd w:val="clear" w:fill="F2F2F2"/>
          </w:tcPr>
          <w:p>
            <w:r>
              <w:t>تغطية الوكلاء 39% &lt; 60% — القرار مشروط باكتمالها</w:t>
            </w:r>
          </w:p>
        </w:tc>
      </w:tr>
    </w:tbl>
    <w:p>
      <w:pPr>
        <w:pStyle w:val="Heading1"/>
      </w:pPr>
      <w:r>
        <w:t>١٣. الاتجاهات والتوقع المستقبلي</w:t>
      </w:r>
    </w:p>
    <w:p>
      <w:r>
        <w:t>بيانات الاتجاه غير كافية لهذه السنوات.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الصين: دخل الفرد غير متوفر</w:t>
      </w:r>
    </w:p>
    <w:p>
      <w:pPr>
        <w:pStyle w:val="ListBullet"/>
      </w:pPr>
      <w:r>
        <w:t>الإمارات: دخل الفرد غير متوفر</w:t>
      </w:r>
    </w:p>
    <w:p>
      <w:pPr>
        <w:pStyle w:val="Heading1"/>
      </w:pPr>
      <w:r>
        <w:t>١٤. التوصيات الاستراتيجية</w:t>
      </w:r>
    </w:p>
    <w:p>
      <w:pPr>
        <w:pStyle w:val="Heading2"/>
      </w:pPr>
      <w:r>
        <w:t>قرار الدخول (المحرك الموزون §8)</w:t>
      </w:r>
    </w:p>
    <w:p>
      <w:r>
        <w:t>الحكم: CONDITIONAL-GO | النقاط: 0.636 | الثقة: منخفضة (31%)</w:t>
      </w:r>
    </w:p>
    <w:p>
      <w:r>
        <w:t>أساس الثقة: التغطية 0.39 × الأعمدة المحسوبة 4/5</w:t>
      </w:r>
    </w:p>
    <w:p>
      <w:r>
        <w:t>خيار الأوزان المعتمد: A — النقاط بالخيارين: A = 0.636 | B = 0.584</w:t>
      </w:r>
    </w:p>
    <w:p>
      <w:r>
        <w:t>ملاحظة الأوزان: خيار الأوزان قيد بوابة GATE 3 — كلا المجموعين محسوبان؛ الافتراضي A حتى قرار المالك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الأساس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مكوّنات غائبة</w:t>
            </w:r>
          </w:p>
        </w:tc>
      </w:tr>
      <w:tr>
        <w:tc>
          <w:tcPr>
            <w:tcW w:type="dxa" w:w="2160"/>
          </w:tcPr>
          <w:p>
            <w:r>
              <w:t>جاذبية السوق</w:t>
            </w:r>
          </w:p>
        </w:tc>
        <w:tc>
          <w:tcPr>
            <w:tcW w:type="dxa" w:w="2160"/>
          </w:tcPr>
          <w:p>
            <w:r>
              <w:t>0.892</w:t>
            </w:r>
          </w:p>
        </w:tc>
        <w:tc>
          <w:tcPr>
            <w:tcW w:type="dxa" w:w="2160"/>
          </w:tcPr>
          <w:p>
            <w: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160"/>
          </w:tcPr>
          <w:p>
            <w:r>
              <w:t>income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المنافسة</w:t>
            </w:r>
          </w:p>
        </w:tc>
        <w:tc>
          <w:tcPr>
            <w:tcW w:type="dxa" w:w="2160"/>
            <w:shd w:val="clear" w:fill="F2F2F2"/>
          </w:tcPr>
          <w:p>
            <w:r>
              <w:t>0.63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160"/>
            <w:shd w:val="clear" w:fill="F2F2F2"/>
          </w:tcPr>
          <w:p>
            <w:r>
              <w:t>named_density</w:t>
            </w:r>
          </w:p>
        </w:tc>
      </w:tr>
      <w:tr>
        <w:tc>
          <w:tcPr>
            <w:tcW w:type="dxa" w:w="2160"/>
          </w:tcPr>
          <w:p>
            <w:r>
              <w:t>التنظيم</w:t>
            </w:r>
          </w:p>
        </w:tc>
        <w:tc>
          <w:tcPr>
            <w:tcW w:type="dxa" w:w="2160"/>
          </w:tcPr>
          <w:p>
            <w:r>
              <w:t>0.375</w:t>
            </w:r>
          </w:p>
        </w:tc>
        <w:tc>
          <w:tcPr>
            <w:tcW w:type="dxa" w:w="2160"/>
          </w:tcPr>
          <w:p>
            <w:r>
              <w:t>متوسط المتاح من: (1 − تعريفة/30%)، وضوح القائمة (بنود/8)</w:t>
            </w:r>
          </w:p>
        </w:tc>
        <w:tc>
          <w:tcPr>
            <w:tcW w:type="dxa" w:w="2160"/>
          </w:tcPr>
          <w:p>
            <w:r>
              <w:t>tariff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الربحية</w:t>
            </w:r>
          </w:p>
        </w:tc>
        <w:tc>
          <w:tcPr>
            <w:tcW w:type="dxa" w:w="2160"/>
            <w:shd w:val="clear" w:fill="F2F2F2"/>
          </w:tcPr>
          <w:p>
            <w:r>
              <w:t>0.75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الهامش/40%، الموقع السعري (1.5 − سعرك/متوسط السوق)</w:t>
            </w:r>
          </w:p>
        </w:tc>
        <w:tc>
          <w:tcPr>
            <w:tcW w:type="dxa" w:w="2160"/>
            <w:shd w:val="clear" w:fill="F2F2F2"/>
          </w:tcPr>
          <w:p>
            <w:r>
              <w:t>margin</w:t>
            </w:r>
          </w:p>
        </w:tc>
      </w:tr>
      <w:tr>
        <w:tc>
          <w:tcPr>
            <w:tcW w:type="dxa" w:w="2160"/>
          </w:tcPr>
          <w:p>
            <w:r>
              <w:t>أمان السوق (المخاطر)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160"/>
          </w:tcPr>
          <w:p>
            <w:r>
              <w:t>political_stability، regulatory_quality، logistics، fx_stability</w:t>
            </w:r>
          </w:p>
        </w:tc>
      </w:tr>
    </w:tbl>
    <w:p>
      <w:r>
        <w:t>أعمدة غائبة كلياً: أمان السوق (المخاطر)</w:t>
      </w:r>
    </w:p>
    <w:p>
      <w:r>
        <w:t>الشروط:</w:t>
      </w:r>
    </w:p>
    <w:p>
      <w:pPr>
        <w:pStyle w:val="ListBullet"/>
      </w:pPr>
      <w: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</w:pPr>
      <w:r>
        <w:t>عمود شدة المنافسة ضعيف (0.37)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</w:pPr>
      <w:r>
        <w:t>عمود الملاءمة التنظيمية ضعيف (0.375) — متوسط المتاح من: (1 − تعريفة/30%)، وضوح القائمة (بنود/8)</w:t>
      </w:r>
    </w:p>
    <w:p>
      <w:r>
        <w:t>سجل المخاطر:</w:t>
      </w:r>
    </w:p>
    <w:p>
      <w:pPr>
        <w:pStyle w:val="ListBullet"/>
      </w:pPr>
      <w:r>
        <w:t>تركّز مصادر التوريد (الشدة: متوسطة) — الدليل: HHI=0.38 &gt; 0.25 (كومتريد)</w:t>
      </w:r>
    </w:p>
    <w:p>
      <w:pPr>
        <w:pStyle w:val="ListBullet"/>
      </w:pPr>
      <w:r>
        <w:t>تغطية بيانات منخفضة (الشدة: متوسطة) — الدليل: تغطية الوكلاء 39% &lt; 60% — القرار مشروط باكتمالها</w:t>
      </w:r>
    </w:p>
    <w:p>
      <w:r>
        <w:t>الخطوات الأولى:</w:t>
      </w:r>
    </w:p>
    <w:p>
      <w:pPr>
        <w:pStyle w:val="ListBullet"/>
      </w:pPr>
      <w:r>
        <w:t>أغلق بنود قائمة الاشتراطات (وكيل regulatory) بنداً بنداً بمرجعها الرسمي</w:t>
      </w:r>
    </w:p>
    <w:p>
      <w:pPr>
        <w:pStyle w:val="ListBullet"/>
      </w:pPr>
      <w:r>
        <w:t>سوق مركّز: ادخل عبر موزّع قائم من مرشّحي وكيل supplier بدل البناء المباشر</w:t>
      </w:r>
    </w:p>
    <w:p>
      <w:r>
        <w:t>لماذا: الدرجة الموزونة 0.636 في النطاق الشرطي والثقة منخفضة (31%) دون الحد الأدنى (60%) وشروط مفتوحة (3)</w:t>
      </w:r>
    </w:p>
    <w:p>
      <w:r>
        <w:t>قرار حتمي قابل للتفسير من حزمة §4b المتحقَّق منها — الأعمدة الغائبة شروط معلنة، لا تخمين</w:t>
      </w:r>
    </w:p>
    <w:p>
      <w:pPr>
        <w:pStyle w:val="Heading2"/>
      </w:pPr>
      <w:r>
        <w:t>استراتيجية دخول السوق</w:t>
      </w:r>
    </w:p>
    <w:p>
      <w:r>
        <w:t>النموذج الموصى به: عبر موزّع/مستورد محلي قائم</w:t>
      </w:r>
    </w:p>
    <w:p>
      <w:r>
        <w:t>الأساس (من الأقسام أعلاه، لا رقم جديد):</w:t>
      </w:r>
    </w:p>
    <w:p>
      <w:pPr>
        <w:pStyle w:val="ListBullet"/>
      </w:pPr>
      <w:r>
        <w:t>مؤشر تركّز الموردين HHI=0.38 (سوق مركّز)</w:t>
      </w:r>
    </w:p>
    <w:p>
      <w:pPr>
        <w:pStyle w:val="ListBullet"/>
      </w:pPr>
      <w:r>
        <w:t>أكبر حصة مورّد واحد 50.0%</w:t>
      </w:r>
    </w:p>
    <w:p>
      <w:pPr>
        <w:pStyle w:val="Heading2"/>
      </w:pPr>
      <w:r>
        <w:t>دليل المورّدين والمصنّعين</w:t>
      </w:r>
    </w:p>
    <w:p>
      <w:r>
        <w:t>مورّدون ومصنّعون سعوديون:</w:t>
      </w:r>
    </w:p>
    <w:p>
      <w:pPr>
        <w:pStyle w:val="ListBullet"/>
      </w:pPr>
      <w:r>
        <w:t>—</w:t>
      </w:r>
    </w:p>
    <w:p>
      <w:r>
        <w:t>موزّعون ومستوردون في السوق المستهدف:</w:t>
      </w:r>
    </w:p>
    <w:p>
      <w:pPr>
        <w:pStyle w:val="ListBullet"/>
      </w:pPr>
      <w:r>
        <w:t>—</w:t>
      </w:r>
    </w:p>
    <w:p>
      <w:r>
        <w:t>مرشّحون غير موثَّقين (○ غير متحقق) — أكّدهم قبل التعاقد؛ الترقية الموثّقة عبر خدمة التعميق المدفوعة</w:t>
      </w:r>
    </w:p>
    <w:p>
      <w:r>
        <w:t>التوصية: دخول مشروط — سوق الصين (ثقة منخفضة (31%))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الملحق: تغطية المصادر وأثرها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القسم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المُسهم/المُحاوَل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الدرجة</w:t>
            </w:r>
          </w:p>
        </w:tc>
      </w:tr>
      <w:tr>
        <w:tc>
          <w:tcPr>
            <w:tcW w:type="dxa" w:w="2880"/>
          </w:tcPr>
          <w:p>
            <w:r>
              <w:t>حجم السوق والمنافسة</w:t>
            </w:r>
          </w:p>
        </w:tc>
        <w:tc>
          <w:tcPr>
            <w:tcW w:type="dxa" w:w="2880"/>
          </w:tcPr>
          <w:p>
            <w:r>
              <w:t>3/3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الاشتراطات والتعريفة</w:t>
            </w:r>
          </w:p>
        </w:tc>
        <w:tc>
          <w:tcPr>
            <w:tcW w:type="dxa" w:w="2880"/>
            <w:shd w:val="clear" w:fill="F2F2F2"/>
          </w:tcPr>
          <w:p>
            <w:r>
              <w:t>3/4</w:t>
            </w:r>
          </w:p>
        </w:tc>
        <w:tc>
          <w:tcPr>
            <w:tcW w:type="dxa" w:w="2880"/>
            <w:shd w:val="clear" w:fill="F2F2F2"/>
          </w:tcPr>
          <w:p>
            <w:r>
              <w:t>0.75</w:t>
            </w:r>
          </w:p>
        </w:tc>
      </w:tr>
      <w:tr>
        <w:tc>
          <w:tcPr>
            <w:tcW w:type="dxa" w:w="2880"/>
          </w:tcPr>
          <w:p>
            <w:r>
              <w:t>المنافسون بالاسم</w:t>
            </w:r>
          </w:p>
        </w:tc>
        <w:tc>
          <w:tcPr>
            <w:tcW w:type="dxa" w:w="2880"/>
          </w:tcPr>
          <w:p>
            <w:r>
              <w:t>0/0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الأسعار</w:t>
            </w:r>
          </w:p>
        </w:tc>
        <w:tc>
          <w:tcPr>
            <w:tcW w:type="dxa" w:w="2880"/>
            <w:shd w:val="clear" w:fill="F2F2F2"/>
          </w:tcPr>
          <w:p>
            <w:r>
              <w:t>2/2</w:t>
            </w:r>
          </w:p>
        </w:tc>
        <w:tc>
          <w:tcPr>
            <w:tcW w:type="dxa" w:w="2880"/>
            <w:shd w:val="clear" w:fill="F2F2F2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>
              <w:t>الطلب والقدرة</w:t>
            </w:r>
          </w:p>
        </w:tc>
        <w:tc>
          <w:tcPr>
            <w:tcW w:type="dxa" w:w="2880"/>
          </w:tcPr>
          <w:p>
            <w:r>
              <w:t>0/1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المخاطر</w:t>
            </w:r>
          </w:p>
        </w:tc>
        <w:tc>
          <w:tcPr>
            <w:tcW w:type="dxa" w:w="2880"/>
            <w:shd w:val="clear" w:fill="F2F2F2"/>
          </w:tcPr>
          <w:p>
            <w:r>
              <w:t>0/4</w:t>
            </w:r>
          </w:p>
        </w:tc>
        <w:tc>
          <w:tcPr>
            <w:tcW w:type="dxa" w:w="2880"/>
            <w:shd w:val="clear" w:fill="F2F2F2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الاتجاه</w:t>
            </w:r>
          </w:p>
        </w:tc>
        <w:tc>
          <w:tcPr>
            <w:tcW w:type="dxa" w:w="2880"/>
          </w:tcPr>
          <w:p>
            <w:r>
              <w:t>0/5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pPr>
        <w:pStyle w:val="Heading2"/>
      </w:pPr>
      <w:r>
        <w:t>أقسام دون عتبة الكفاية</w:t>
      </w:r>
    </w:p>
    <w:p>
      <w:r>
        <w:t>بيانات غير كافية لقسم «المنافسون بالاسم» (0/2 حقائق سوقية) — المصادر المُحاوَلة: لا مصادر مُحاوَلة</w:t>
      </w:r>
    </w:p>
    <w:p>
      <w:r>
        <w:t>بيانات غير كافية لقسم «الطلب والقدرة» (0/1 حقائق سوقية) — المصادر المُحاوَلة: World Bank</w:t>
      </w:r>
    </w:p>
    <w:p>
      <w:r>
        <w:t>بيانات غير كافية لقسم «المخاطر» (0/2 حقائق سوقية) — المصادر المُحاوَلة: World Bank</w:t>
      </w:r>
    </w:p>
    <w:p>
      <w:r>
        <w:t>بيانات غير كافية لقسم «الاتجاه» (0/2 حقائق سوقية) — المصادر المُحاوَلة: UN Comtrade</w:t>
      </w:r>
    </w:p>
    <w:p>
      <w:pPr>
        <w:pStyle w:val="Heading2"/>
      </w:pPr>
      <w:r>
        <w:t>أثر المصادر (المحاولات والإسهام)</w:t>
      </w:r>
    </w:p>
    <w:p>
      <w:r>
        <w:t>UN Comtrade: أسهم 18 من 18 محاولة</w:t>
      </w:r>
    </w:p>
    <w:p>
      <w:r>
        <w:t>Silk L1 requirements reference (official portals / EUR-Lex): أسهم 16 من 17 محاولة</w:t>
      </w:r>
    </w:p>
    <w:p>
      <w:pPr>
        <w:pStyle w:val="IntenseQuote"/>
      </w:pPr>
      <w:r>
        <w:t xml:space="preserve">    فشل مُسجَّل: سوق CHN (موثّق جزئياً) غير مغطى بالمرجع الثابت بعد — تحقق محلياً (verify locally)</w:t>
      </w:r>
    </w:p>
    <w:p>
      <w:r>
        <w:t>UN Comtrade (مخزن الحقائق): أسهم 14 من 14 محاولة</w:t>
      </w:r>
    </w:p>
    <w:p>
      <w:r>
        <w:t>Pew Research Center (لقطة ساكنة مقرّبة): أسهم 2 من 2 محاولة</w:t>
      </w:r>
    </w:p>
    <w:p>
      <w:r>
        <w:t>World Bank: أسهم 0 من 10 محاولة</w:t>
      </w:r>
    </w:p>
    <w:p>
      <w:pPr>
        <w:pStyle w:val="IntenseQuote"/>
      </w:pPr>
      <w:r>
        <w:t xml:space="preserve">    فشل مُسجَّل: no income data for CHN 2023</w:t>
      </w:r>
    </w:p>
    <w:p>
      <w:pPr>
        <w:pStyle w:val="IntenseQuote"/>
      </w:pPr>
      <w:r>
        <w:t xml:space="preserve">    فشل مُسجَّل: الاستقرار السياسي (WGI) — PV.EST fetch failed for CHN: HTTPSConnectionPool(host='api.worldbank.org', port=443): Max retries exceeded with ur</w:t>
      </w:r>
    </w:p>
    <w:p>
      <w:pPr>
        <w:pStyle w:val="IntenseQuote"/>
      </w:pPr>
      <w:r>
        <w:t xml:space="preserve">    فشل مُسجَّل: جودة التنظيم (WGI) — RQ.EST fetch failed for CHN: HTTPSConnectionPool(host='api.worldbank.org', port=443): Max retries exceeded with url: /v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