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start"/>
      </w:pPr>
      <w:r>
        <w:rPr>
          <w:rFonts w:ascii="IBM Plex Sans Arabic" w:hAnsi="IBM Plex Sans Arabic" w:cs="IBM Plex Sans Arabic"/>
          <w:b/>
          <w:color w:val="1B3B6F"/>
          <w:sz w:val="56"/>
          <w:rtl/>
          <w:szCs w:val="56"/>
        </w:rPr>
        <w:t>سلك</w:t>
      </w:r>
    </w:p>
    <w:p>
      <w:pPr>
        <w:pStyle w:val="Title"/>
        <w:bidi/>
        <w:jc w:val="start"/>
      </w:pPr>
      <w:r>
        <w:rPr>
          <w:rFonts w:ascii="IBM Plex Sans Arabic" w:hAnsi="IBM Plex Sans Arabic" w:cs="IBM Plex Sans Arabic"/>
          <w:rtl/>
        </w:rPr>
        <w:t>دراسة تحليلية لسوق زبدة الفول السوداني في الكويت: تقييم فرص التصدير من منظور المصدّر السعودي</w:t>
      </w:r>
    </w:p>
    <w:p>
      <w:pPr>
        <w:pStyle w:val="IntenseQuote"/>
        <w:bidi/>
        <w:jc w:val="start"/>
      </w:pPr>
      <w:r>
        <w:rPr>
          <w:rFonts w:ascii="IBM Plex Sans Arabic" w:hAnsi="IBM Plex Sans Arabic" w:cs="IBM Plex Sans Arabic"/>
          <w:rtl/>
        </w:rPr>
        <w:t>أُعدّت بواسطة منصة سلك لذكاء الأسواق</w:t>
      </w:r>
    </w:p>
    <w:p>
      <w:pPr>
        <w:bidi/>
        <w:jc w:val="start"/>
      </w:pPr>
      <w:r>
        <w:rPr>
          <w:rFonts w:ascii="IBM Plex Sans Arabic" w:hAnsi="IBM Plex Sans Arabic" w:cs="IBM Plex Sans Arabic"/>
          <w:rtl/>
        </w:rPr>
        <w:t>⚠ نموذج توضيحي ببيانات موسومة — ليس تقريراً إنتاجياً</w:t>
      </w:r>
    </w:p>
    <w:p>
      <w:pPr>
        <w:bidi/>
        <w:jc w:val="start"/>
      </w:pPr>
      <w:r>
        <w:rPr>
          <w:rFonts w:ascii="IBM Plex Sans Arabic" w:hAnsi="IBM Plex Sans Arabic" w:cs="IBM Plex Sans Arabic"/>
          <w:b/>
          <w:color w:val="000000"/>
          <w:sz w:val="32"/>
          <w:highlight w:val="yellow"/>
          <w:rtl/>
          <w:szCs w:val="32"/>
        </w:rPr>
        <w:t xml:space="preserve">  مراقبة السوق  </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4320"/>
        <w:gridCol w:w="4320"/>
      </w:tblGrid>
      <w:tr>
        <w:tc>
          <w:tcPr>
            <w:tcW w:type="dxa" w:w="468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البند</w:t>
            </w:r>
          </w:p>
        </w:tc>
        <w:tc>
          <w:tcPr>
            <w:tcW w:type="dxa" w:w="468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القيمة</w:t>
            </w:r>
          </w:p>
        </w:tc>
      </w:tr>
      <w:tr>
        <w:tc>
          <w:tcPr>
            <w:tcW w:type="dxa" w:w="4680"/>
            <w:tcMar>
              <w:top w:w="100" w:type="dxa"/>
              <w:bottom w:w="100" w:type="dxa"/>
              <w:left w:w="120" w:type="dxa"/>
              <w:right w:w="120" w:type="dxa"/>
            </w:tcMar>
          </w:tcPr>
          <w:p>
            <w:pPr>
              <w:bidi/>
              <w:jc w:val="start"/>
            </w:pPr>
            <w:r>
              <w:rPr>
                <w:rFonts w:ascii="IBM Plex Sans Arabic" w:hAnsi="IBM Plex Sans Arabic" w:cs="IBM Plex Sans Arabic"/>
                <w:rtl/>
              </w:rPr>
              <w:t>المنتج</w:t>
            </w:r>
          </w:p>
        </w:tc>
        <w:tc>
          <w:tcPr>
            <w:tcW w:type="dxa" w:w="4680"/>
            <w:tcMar>
              <w:top w:w="100" w:type="dxa"/>
              <w:bottom w:w="100" w:type="dxa"/>
              <w:left w:w="120" w:type="dxa"/>
              <w:right w:w="120" w:type="dxa"/>
            </w:tcMar>
          </w:tcPr>
          <w:p>
            <w:pPr>
              <w:bidi/>
              <w:jc w:val="start"/>
            </w:pPr>
            <w:r>
              <w:rPr>
                <w:rFonts w:ascii="IBM Plex Sans Arabic" w:hAnsi="IBM Plex Sans Arabic" w:cs="IBM Plex Sans Arabic"/>
                <w:rtl/>
              </w:rPr>
              <w:t>زبدة الفول السوداني</w:t>
            </w:r>
          </w:p>
        </w:tc>
      </w:tr>
      <w:tr>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رمز HS</w:t>
            </w:r>
          </w:p>
        </w:tc>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040510</w:t>
            </w:r>
          </w:p>
        </w:tc>
      </w:tr>
      <w:tr>
        <w:tc>
          <w:tcPr>
            <w:tcW w:type="dxa" w:w="4680"/>
            <w:tcMar>
              <w:top w:w="100" w:type="dxa"/>
              <w:bottom w:w="100" w:type="dxa"/>
              <w:left w:w="120" w:type="dxa"/>
              <w:right w:w="120" w:type="dxa"/>
            </w:tcMar>
          </w:tcPr>
          <w:p>
            <w:pPr>
              <w:bidi/>
              <w:jc w:val="start"/>
            </w:pPr>
            <w:r>
              <w:rPr>
                <w:rFonts w:ascii="IBM Plex Sans Arabic" w:hAnsi="IBM Plex Sans Arabic" w:cs="IBM Plex Sans Arabic"/>
                <w:rtl/>
              </w:rPr>
              <w:t>بلد المنشأ</w:t>
            </w:r>
          </w:p>
        </w:tc>
        <w:tc>
          <w:tcPr>
            <w:tcW w:type="dxa" w:w="4680"/>
            <w:tcMar>
              <w:top w:w="100" w:type="dxa"/>
              <w:bottom w:w="100" w:type="dxa"/>
              <w:left w:w="120" w:type="dxa"/>
              <w:right w:w="120" w:type="dxa"/>
            </w:tcMar>
          </w:tcPr>
          <w:p>
            <w:pPr>
              <w:bidi/>
              <w:jc w:val="start"/>
            </w:pPr>
            <w:r>
              <w:rPr>
                <w:rFonts w:ascii="IBM Plex Sans Arabic" w:hAnsi="IBM Plex Sans Arabic" w:cs="IBM Plex Sans Arabic"/>
                <w:rtl/>
              </w:rPr>
              <w:t>المملكة العربية السعودية</w:t>
            </w:r>
          </w:p>
        </w:tc>
      </w:tr>
      <w:tr>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السوق المستهدف</w:t>
            </w:r>
          </w:p>
        </w:tc>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الكويت</w:t>
            </w:r>
          </w:p>
        </w:tc>
      </w:tr>
      <w:tr>
        <w:tc>
          <w:tcPr>
            <w:tcW w:type="dxa" w:w="4680"/>
            <w:tcMar>
              <w:top w:w="100" w:type="dxa"/>
              <w:bottom w:w="100" w:type="dxa"/>
              <w:left w:w="120" w:type="dxa"/>
              <w:right w:w="120" w:type="dxa"/>
            </w:tcMar>
          </w:tcPr>
          <w:p>
            <w:pPr>
              <w:bidi/>
              <w:jc w:val="start"/>
            </w:pPr>
            <w:r>
              <w:rPr>
                <w:rFonts w:ascii="IBM Plex Sans Arabic" w:hAnsi="IBM Plex Sans Arabic" w:cs="IBM Plex Sans Arabic"/>
                <w:rtl/>
              </w:rPr>
              <w:t>تاريخ الإعداد</w:t>
            </w:r>
          </w:p>
        </w:tc>
        <w:tc>
          <w:tcPr>
            <w:tcW w:type="dxa" w:w="4680"/>
            <w:tcMar>
              <w:top w:w="100" w:type="dxa"/>
              <w:bottom w:w="100" w:type="dxa"/>
              <w:left w:w="120" w:type="dxa"/>
              <w:right w:w="120" w:type="dxa"/>
            </w:tcMar>
          </w:tcPr>
          <w:p>
            <w:pPr>
              <w:bidi/>
              <w:jc w:val="start"/>
            </w:pPr>
            <w:r>
              <w:rPr>
                <w:rFonts w:ascii="IBM Plex Sans Arabic" w:hAnsi="IBM Plex Sans Arabic" w:cs="IBM Plex Sans Arabic"/>
                <w:rtl/>
              </w:rPr>
              <w:t>2026-07-22</w:t>
            </w:r>
          </w:p>
        </w:tc>
      </w:tr>
    </w:tbl>
    <w:p>
      <w:pPr>
        <w:pStyle w:val="Heading1"/>
        <w:bidi/>
        <w:jc w:val="start"/>
      </w:pPr>
      <w:r>
        <w:rPr>
          <w:rFonts w:ascii="IBM Plex Sans Arabic" w:hAnsi="IBM Plex Sans Arabic" w:cs="IBM Plex Sans Arabic"/>
          <w:rtl/>
        </w:rPr>
        <w:t>ملخّص الدراسة</w:t>
      </w:r>
    </w:p>
    <w:p>
      <w:pPr>
        <w:bidi/>
        <w:jc w:val="start"/>
      </w:pPr>
      <w:r>
        <w:rPr>
          <w:rFonts w:ascii="IBM Plex Sans Arabic" w:hAnsi="IBM Plex Sans Arabic" w:cs="IBM Plex Sans Arabic"/>
          <w:rtl/>
        </w:rPr>
        <w:t>التوصية الختامية: مراقبة السوق، بدرجة ثقة منخفضة (‏50%‏) وفق سُلَّم المعايرة المعتمد؛ وتفصيلها وشروط إعادة التقييم في قسم «التوصيات» ختام الدراسة.</w:t>
      </w:r>
    </w:p>
    <w:p>
      <w:pPr>
        <w:bidi/>
        <w:jc w:val="start"/>
      </w:pPr>
      <w:r>
        <w:rPr>
          <w:rFonts w:ascii="IBM Plex Sans Arabic" w:hAnsi="IBM Plex Sans Arabic" w:cs="IBM Plex Sans Arabic"/>
          <w:rtl/>
        </w:rPr>
        <w:t>سؤال الدراسة ومنهجها: تقييم جدوى دخول السوق المستهدف للمنتج المدروس من منظور مصدّر سعودي، بمنهج كمّي وصفي قائم على البيانات الثانوية الرسمية. اعتمد هذا التقرير على مصادر رسمية عامة (‏GSO، Google Maps، UN Comtrade، World Bank، بلدية الكويت، رصد ميداني عام‏)، مع تحليل تقاطعي بينها ومراجعة للاتساق قبل الاعتماد. خضعت كل معلومة للتحقّق من مصدرها العمومي المباشر. أحدث تاريخ جمع بيانات: 2026-07-20. قائمة المراجع الكاملة بروابطها الرسمية ختام التقرير.</w:t>
      </w:r>
    </w:p>
    <w:p>
      <w:pPr>
        <w:bidi/>
        <w:jc w:val="start"/>
      </w:pPr>
      <w:r>
        <w:rPr>
          <w:rFonts w:ascii="IBM Plex Sans Arabic" w:hAnsi="IBM Plex Sans Arabic" w:cs="IBM Plex Sans Arabic"/>
          <w:rtl/>
        </w:rPr>
        <w:t>أبرز النتائج حسب محاور التحليل:</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2880"/>
        <w:gridCol w:w="2880"/>
        <w:gridCol w:w="2880"/>
      </w:tblGrid>
      <w:tr>
        <w:tc>
          <w:tcPr>
            <w:tcW w:type="dxa" w:w="312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المحور</w:t>
            </w:r>
          </w:p>
        </w:tc>
        <w:tc>
          <w:tcPr>
            <w:tcW w:type="dxa" w:w="312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أبرز نتيجة مرصودة</w:t>
            </w:r>
          </w:p>
        </w:tc>
        <w:tc>
          <w:tcPr>
            <w:tcW w:type="dxa" w:w="312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قوة الدليل</w:t>
            </w:r>
          </w:p>
        </w:tc>
      </w:tr>
      <w:tr>
        <w:tc>
          <w:tcPr>
            <w:tcW w:type="dxa" w:w="3120"/>
            <w:tcMar>
              <w:top w:w="100" w:type="dxa"/>
              <w:bottom w:w="100" w:type="dxa"/>
              <w:left w:w="120" w:type="dxa"/>
              <w:right w:w="120" w:type="dxa"/>
            </w:tcMar>
          </w:tcPr>
          <w:p>
            <w:pPr>
              <w:bidi/>
              <w:jc w:val="start"/>
            </w:pPr>
            <w:r>
              <w:rPr>
                <w:rFonts w:ascii="IBM Plex Sans Arabic" w:hAnsi="IBM Plex Sans Arabic" w:cs="IBM Plex Sans Arabic"/>
                <w:rtl/>
              </w:rPr>
              <w:t>الطلب الفعلي القابل للتوجيه</w:t>
            </w:r>
          </w:p>
        </w:tc>
        <w:tc>
          <w:tcPr>
            <w:tcW w:type="dxa" w:w="3120"/>
            <w:tcMar>
              <w:top w:w="100" w:type="dxa"/>
              <w:bottom w:w="100" w:type="dxa"/>
              <w:left w:w="120" w:type="dxa"/>
              <w:right w:w="120" w:type="dxa"/>
            </w:tcMar>
          </w:tcPr>
          <w:p>
            <w:pPr>
              <w:bidi/>
              <w:jc w:val="start"/>
            </w:pPr>
            <w:r>
              <w:rPr>
                <w:rFonts w:ascii="IBM Plex Sans Arabic" w:hAnsi="IBM Plex Sans Arabic" w:cs="IBM Plex Sans Arabic"/>
                <w:rtl/>
              </w:rPr>
              <w:t>9000000</w:t>
            </w:r>
          </w:p>
        </w:tc>
        <w:tc>
          <w:tcPr>
            <w:tcW w:type="dxa" w:w="3120"/>
            <w:tcMar>
              <w:top w:w="100" w:type="dxa"/>
              <w:bottom w:w="100" w:type="dxa"/>
              <w:left w:w="120" w:type="dxa"/>
              <w:right w:w="120" w:type="dxa"/>
            </w:tcMar>
          </w:tcPr>
          <w:p>
            <w:pPr>
              <w:bidi/>
              <w:jc w:val="start"/>
            </w:pPr>
            <w:r>
              <w:rPr>
                <w:rFonts w:ascii="IBM Plex Sans Arabic" w:hAnsi="IBM Plex Sans Arabic" w:cs="IBM Plex Sans Arabic"/>
                <w:rtl/>
              </w:rPr>
              <w:t>✓ موثّق</w:t>
            </w:r>
          </w:p>
        </w:tc>
      </w:tr>
      <w:tr>
        <w:tc>
          <w:tcPr>
            <w:tcW w:type="dxa" w:w="3120"/>
            <w:tcMar>
              <w:top w:w="100" w:type="dxa"/>
              <w:bottom w:w="100" w:type="dxa"/>
              <w:left w:w="120" w:type="dxa"/>
              <w:right w:w="120" w:type="dxa"/>
            </w:tcMar>
            <w:shd w:val="clear" w:fill="F2F7F3"/>
          </w:tcPr>
          <w:p>
            <w:pPr>
              <w:bidi/>
              <w:jc w:val="start"/>
            </w:pPr>
            <w:r>
              <w:rPr>
                <w:rFonts w:ascii="IBM Plex Sans Arabic" w:hAnsi="IBM Plex Sans Arabic" w:cs="IBM Plex Sans Arabic"/>
                <w:rtl/>
              </w:rPr>
              <w:t>التنافسية السعرية</w:t>
            </w:r>
          </w:p>
        </w:tc>
        <w:tc>
          <w:tcPr>
            <w:tcW w:type="dxa" w:w="3120"/>
            <w:tcMar>
              <w:top w:w="100" w:type="dxa"/>
              <w:bottom w:w="100" w:type="dxa"/>
              <w:left w:w="120" w:type="dxa"/>
              <w:right w:w="120" w:type="dxa"/>
            </w:tcMar>
            <w:shd w:val="clear" w:fill="F2F7F3"/>
          </w:tcPr>
          <w:p>
            <w:pPr>
              <w:bidi/>
              <w:jc w:val="start"/>
            </w:pPr>
            <w:r>
              <w:rPr>
                <w:rFonts w:ascii="IBM Plex Sans Arabic" w:hAnsi="IBM Plex Sans Arabic" w:cs="IBM Plex Sans Arabic"/>
                <w:rtl/>
              </w:rPr>
              <w:t>0.67 دولار/كجم</w:t>
            </w:r>
          </w:p>
        </w:tc>
        <w:tc>
          <w:tcPr>
            <w:tcW w:type="dxa" w:w="3120"/>
            <w:tcMar>
              <w:top w:w="100" w:type="dxa"/>
              <w:bottom w:w="100" w:type="dxa"/>
              <w:left w:w="120" w:type="dxa"/>
              <w:right w:w="120" w:type="dxa"/>
            </w:tcMar>
            <w:shd w:val="clear" w:fill="F2F7F3"/>
          </w:tcPr>
          <w:p>
            <w:pPr>
              <w:bidi/>
              <w:jc w:val="start"/>
            </w:pPr>
            <w:r>
              <w:rPr>
                <w:rFonts w:ascii="IBM Plex Sans Arabic" w:hAnsi="IBM Plex Sans Arabic" w:cs="IBM Plex Sans Arabic"/>
                <w:rtl/>
              </w:rPr>
              <w:t>✓ موثّق</w:t>
            </w:r>
          </w:p>
        </w:tc>
      </w:tr>
    </w:tbl>
    <w:p>
      <w:pPr>
        <w:bidi/>
        <w:jc w:val="start"/>
      </w:pPr>
      <w:r>
        <w:rPr>
          <w:rFonts w:ascii="IBM Plex Sans Arabic" w:hAnsi="IBM Plex Sans Arabic" w:cs="IBM Plex Sans Arabic"/>
          <w:rtl/>
        </w:rPr>
        <w:t>القيد المنهجي الحاكم: رمز التصنيف الجمركي المستخدم في جمع بيانات التجارة (‏040510‏) غير مؤكَّد المطابقة لفئة المنتج المدروس؛ لذلك تُقرأ الأرقام الجمركية مؤشراً سياقياً لا قياساً مباشراً، وتُقيَّد الاستنتاجات المبنية عليها حتى إعادة التصنيف.</w:t>
      </w:r>
    </w:p>
    <w:p>
      <w:pPr>
        <w:bidi/>
        <w:jc w:val="start"/>
      </w:pPr>
      <w:r>
        <w:rPr>
          <w:rFonts w:ascii="IBM Plex Sans Arabic" w:hAnsi="IBM Plex Sans Arabic" w:cs="IBM Plex Sans Arabic"/>
          <w:rtl/>
        </w:rPr>
        <w:t>حدود الدراسة (موجز): لم يتحقّق بعد: توفّر بيانات استيراد موثوقة تحت رمز HS الصحيح — إغلاق هذا الشرط يتطلّب إعادة تصنيف الرمز ثم سحب واردات كومتريد تحته. لم يتحقّق بعد: التعاقد مع موزّع محلي مؤكَّد بالاسم في الكويت — إغلاق هذا الشرط يتطلّب خدمة تحقّق جهات الاتصال المدفوعة ثم عقد موزّع.</w:t>
      </w:r>
    </w:p>
    <w:p>
      <w:pPr>
        <w:bidi/>
        <w:jc w:val="start"/>
      </w:pPr>
      <w:r>
        <w:rPr>
          <w:rFonts w:ascii="IBM Plex Sans Arabic" w:hAnsi="IBM Plex Sans Arabic" w:cs="IBM Plex Sans Arabic"/>
          <w:rtl/>
        </w:rPr>
        <w:t>خلاصة التوصيات: إرجاء قرار دخول السوق مع إبقائه قيد المراقبة النشطة، وإعادة التقييم فور استيفاء الشروط أدناه. التفصيل الكامل في القسم الختامي.</w:t>
      </w:r>
    </w:p>
    <w:p>
      <w:pPr>
        <w:pStyle w:val="Heading1"/>
        <w:bidi/>
        <w:jc w:val="start"/>
      </w:pPr>
      <w:r>
        <w:rPr>
          <w:rFonts w:ascii="IBM Plex Sans Arabic" w:hAnsi="IBM Plex Sans Arabic" w:cs="IBM Plex Sans Arabic"/>
          <w:rtl/>
        </w:rPr>
        <w:t>١. المقدمة وأهداف الدراسة</w:t>
      </w:r>
    </w:p>
    <w:p>
      <w:pPr>
        <w:bidi/>
        <w:jc w:val="start"/>
      </w:pPr>
      <w:r>
        <w:rPr>
          <w:rFonts w:ascii="IBM Plex Sans Arabic" w:hAnsi="IBM Plex Sans Arabic" w:cs="IBM Plex Sans Arabic"/>
          <w:rtl/>
        </w:rPr>
        <w:t>تسعى هذه الدراسة إلى الإجابة عن سؤال بحثي رئيس: ما مدى جاذبية سوق الكويت لمنتج زبدة الفول السوداني سعودي المنشأ؟ وتتفرّع عنه ثلاثة أسئلة فرعية: (أ) ما حجم الطلب المرصود واتجاهه؟ (ب) ما بنية المنافسة وهيكل الأسعار السائد؟ (ج) ما المتطلبات التنظيمية وقنوات الدخول المتاحة؟</w:t>
      </w:r>
    </w:p>
    <w:p>
      <w:pPr>
        <w:pStyle w:val="Heading1"/>
        <w:bidi/>
        <w:jc w:val="start"/>
      </w:pPr>
      <w:r>
        <w:rPr>
          <w:rFonts w:ascii="IBM Plex Sans Arabic" w:hAnsi="IBM Plex Sans Arabic" w:cs="IBM Plex Sans Arabic"/>
          <w:rtl/>
        </w:rPr>
        <w:t>٢. المنهجية ومصادر البيانات</w:t>
      </w:r>
    </w:p>
    <w:p>
      <w:pPr>
        <w:bidi/>
        <w:jc w:val="start"/>
      </w:pPr>
      <w:r>
        <w:rPr>
          <w:rFonts w:ascii="IBM Plex Sans Arabic" w:hAnsi="IBM Plex Sans Arabic" w:cs="IBM Plex Sans Arabic"/>
          <w:rtl/>
        </w:rPr>
        <w:t>اعتمد هذا التقرير على مصادر رسمية عامة (‏GSO، Google Maps، UN Comtrade، World Bank، بلدية الكويت، رصد ميداني عام‏)، مع تحليل تقاطعي بينها ومراجعة للاتساق قبل الاعتماد. خضعت كل معلومة للتحقّق من مصدرها العمومي المباشر. أحدث تاريخ جمع بيانات: 2026-07-20. قائمة المراجع الكاملة بروابطها الرسمية ختام التقرير.</w:t>
      </w:r>
    </w:p>
    <w:p>
      <w:pPr>
        <w:bidi/>
        <w:jc w:val="start"/>
      </w:pPr>
      <w:r>
        <w:rPr>
          <w:rFonts w:ascii="IBM Plex Sans Arabic" w:hAnsi="IBM Plex Sans Arabic" w:cs="IBM Plex Sans Arabic"/>
          <w:rtl/>
        </w:rPr>
        <w:t>قيد منهجي جوهري: أُجري جمع بيانات التجارة تحت رمزٍ جمركي (‏040510‏) لا يشمل وصفُه صفةَ المنتج المميّزة؛ وعليه تُقرأ جميع الأرقام المستمدّة منه بوصفها مؤشراً سياقياً لفئة مجاورة لا قياساً مباشراً لسوق المنتج، وتُعامَل الاستنتاجات المبنية عليها بيقين مقيَّد إلى حين إعادة التصنيف وجمع البيانات تحت الرمز الصحيح.</w:t>
      </w:r>
    </w:p>
    <w:p>
      <w:pPr>
        <w:pStyle w:val="Heading1"/>
        <w:bidi/>
        <w:jc w:val="start"/>
      </w:pPr>
      <w:r>
        <w:rPr>
          <w:rFonts w:ascii="IBM Plex Sans Arabic" w:hAnsi="IBM Plex Sans Arabic" w:cs="IBM Plex Sans Arabic"/>
          <w:rtl/>
        </w:rPr>
        <w:t>٣. النتائج</w:t>
      </w:r>
    </w:p>
    <w:p>
      <w:pPr>
        <w:pStyle w:val="Heading2"/>
        <w:bidi/>
        <w:jc w:val="start"/>
      </w:pPr>
      <w:r>
        <w:rPr>
          <w:rFonts w:ascii="IBM Plex Sans Arabic" w:hAnsi="IBM Plex Sans Arabic" w:cs="IBM Plex Sans Arabic"/>
          <w:rtl/>
        </w:rPr>
        <w:t>٣.١ حجم السوق وتدفقات الاستيراد</w:t>
      </w:r>
    </w:p>
    <w:p>
      <w:pPr>
        <w:bidi/>
        <w:jc w:val="start"/>
      </w:pPr>
      <w:r>
        <w:rPr>
          <w:rFonts w:ascii="IBM Plex Sans Arabic" w:hAnsi="IBM Plex Sans Arabic" w:cs="IBM Plex Sans Arabic"/>
          <w:rtl/>
        </w:rPr>
        <w:t>تشير بيانات UN Comtrade إلى أن قيمة واردات 2023 بلغت نحو 9 ملايين دولار</w:t>
      </w:r>
    </w:p>
    <w:p>
      <w:pPr>
        <w:bidi/>
        <w:jc w:val="start"/>
      </w:pPr>
      <w:r>
        <w:rPr>
          <w:rFonts w:ascii="IBM Plex Sans Arabic" w:hAnsi="IBM Plex Sans Arabic" w:cs="IBM Plex Sans Arabic"/>
          <w:rtl/>
        </w:rPr>
        <w:t>تحت الرمز المرصود، ممّا يدلّ على طلبٍ قائم بحجم تجاري معتبر ضمن حدود</w:t>
      </w:r>
    </w:p>
    <w:p>
      <w:pPr>
        <w:bidi/>
        <w:jc w:val="start"/>
      </w:pPr>
      <w:r>
        <w:rPr>
          <w:rFonts w:ascii="IBM Plex Sans Arabic" w:hAnsi="IBM Plex Sans Arabic" w:cs="IBM Plex Sans Arabic"/>
          <w:rtl/>
        </w:rPr>
        <w:t>الدلالة المبيّنة في المنهجية.</w:t>
      </w:r>
    </w:p>
    <w:p>
      <w:pPr>
        <w:pStyle w:val="Heading2"/>
        <w:bidi/>
        <w:jc w:val="start"/>
      </w:pPr>
      <w:r>
        <w:rPr>
          <w:rFonts w:ascii="IBM Plex Sans Arabic" w:hAnsi="IBM Plex Sans Arabic" w:cs="IBM Plex Sans Arabic"/>
          <w:rtl/>
        </w:rPr>
        <w:t>٣.٢ ديناميكيات السوق واتجاهاته</w:t>
      </w:r>
    </w:p>
    <w:p>
      <w:pPr>
        <w:bidi/>
        <w:jc w:val="start"/>
      </w:pPr>
      <w:r>
        <w:rPr>
          <w:rFonts w:ascii="IBM Plex Sans Arabic" w:hAnsi="IBM Plex Sans Arabic" w:cs="IBM Plex Sans Arabic"/>
          <w:rtl/>
        </w:rPr>
        <w:t>سجّلت الفئة معدل نموّ سنوي مركّب (CAGR (متوسط النمو السنوي المركّب)) قدره</w:t>
      </w:r>
    </w:p>
    <w:p>
      <w:pPr>
        <w:bidi/>
        <w:jc w:val="start"/>
      </w:pPr>
      <w:r>
        <w:rPr>
          <w:rFonts w:ascii="IBM Plex Sans Arabic" w:hAnsi="IBM Plex Sans Arabic" w:cs="IBM Plex Sans Arabic"/>
          <w:rtl/>
        </w:rPr>
        <w:t>5% على مدى ثلاث سنوات، ويُلاحَظ أن هذا الاتجاه مطّرد لا موسمي الطابع وفق</w:t>
      </w:r>
    </w:p>
    <w:p>
      <w:pPr>
        <w:bidi/>
        <w:jc w:val="start"/>
      </w:pPr>
      <w:r>
        <w:rPr>
          <w:rFonts w:ascii="IBM Plex Sans Arabic" w:hAnsi="IBM Plex Sans Arabic" w:cs="IBM Plex Sans Arabic"/>
          <w:rtl/>
        </w:rPr>
        <w:t>السلاسل المتاحة.</w:t>
      </w:r>
    </w:p>
    <w:p>
      <w:pPr>
        <w:pStyle w:val="Heading2"/>
        <w:bidi/>
        <w:jc w:val="start"/>
      </w:pPr>
      <w:r>
        <w:rPr>
          <w:rFonts w:ascii="IBM Plex Sans Arabic" w:hAnsi="IBM Plex Sans Arabic" w:cs="IBM Plex Sans Arabic"/>
          <w:rtl/>
        </w:rPr>
        <w:t>٣.٣ خصائص الطلب والمستهلك</w:t>
      </w:r>
    </w:p>
    <w:p>
      <w:pPr>
        <w:bidi/>
        <w:jc w:val="start"/>
      </w:pPr>
      <w:r>
        <w:rPr>
          <w:rFonts w:ascii="IBM Plex Sans Arabic" w:hAnsi="IBM Plex Sans Arabic" w:cs="IBM Plex Sans Arabic"/>
          <w:rtl/>
        </w:rPr>
        <w:t>يتّسم دخل الفرد في السوق المدروس بالارتفاع نسبياً، بينما تظلّ بيانات</w:t>
      </w:r>
    </w:p>
    <w:p>
      <w:pPr>
        <w:bidi/>
        <w:jc w:val="start"/>
      </w:pPr>
      <w:r>
        <w:rPr>
          <w:rFonts w:ascii="IBM Plex Sans Arabic" w:hAnsi="IBM Plex Sans Arabic" w:cs="IBM Plex Sans Arabic"/>
          <w:rtl/>
        </w:rPr>
        <w:t>الاهتمام البحثي بالمنتج محدودة، ممّا يستدعي تحفّظاً في تعميم مؤشرات الطلب.</w:t>
      </w:r>
    </w:p>
    <w:p>
      <w:pPr>
        <w:pStyle w:val="Heading2"/>
        <w:bidi/>
        <w:jc w:val="start"/>
      </w:pPr>
      <w:r>
        <w:rPr>
          <w:rFonts w:ascii="IBM Plex Sans Arabic" w:hAnsi="IBM Plex Sans Arabic" w:cs="IBM Plex Sans Arabic"/>
          <w:rtl/>
        </w:rPr>
        <w:t>٣.٤ بنية المنافسة ودرجة التركّز</w:t>
      </w:r>
    </w:p>
    <w:p>
      <w:pPr>
        <w:bidi/>
        <w:jc w:val="start"/>
      </w:pPr>
      <w:r>
        <w:rPr>
          <w:rFonts w:ascii="IBM Plex Sans Arabic" w:hAnsi="IBM Plex Sans Arabic" w:cs="IBM Plex Sans Arabic"/>
          <w:rtl/>
        </w:rPr>
        <w:t>يتوزّع التوريد بين ثلاثة بلدان منشأ رئيسة (الإمارات، مصر، تركيا) بدرجة</w:t>
      </w:r>
    </w:p>
    <w:p>
      <w:pPr>
        <w:bidi/>
        <w:jc w:val="start"/>
      </w:pPr>
      <w:r>
        <w:rPr>
          <w:rFonts w:ascii="IBM Plex Sans Arabic" w:hAnsi="IBM Plex Sans Arabic" w:cs="IBM Plex Sans Arabic"/>
          <w:rtl/>
        </w:rPr>
        <w:t>تركّز مرتفعة (‏HHI = 2900‏). وبلغ متوسط سعر الاستيراد الرسمي نحو 6 دولارات</w:t>
      </w:r>
    </w:p>
    <w:p>
      <w:pPr>
        <w:bidi/>
        <w:jc w:val="start"/>
      </w:pPr>
      <w:r>
        <w:rPr>
          <w:rFonts w:ascii="IBM Plex Sans Arabic" w:hAnsi="IBM Plex Sans Arabic" w:cs="IBM Plex Sans Arabic"/>
          <w:rtl/>
        </w:rPr>
        <w:t>للكيلوغرام مقابل سعر تجزئة مرصود قدره 0.67 دولار للكيلوغرام؛ ويُفسَّر هذا</w:t>
      </w:r>
    </w:p>
    <w:p>
      <w:pPr>
        <w:bidi/>
        <w:jc w:val="start"/>
      </w:pPr>
      <w:r>
        <w:rPr>
          <w:rFonts w:ascii="IBM Plex Sans Arabic" w:hAnsi="IBM Plex Sans Arabic" w:cs="IBM Plex Sans Arabic"/>
          <w:rtl/>
        </w:rPr>
        <w:t>التباين بكون رقم الاستيراد محسوباً لفئة مجاورة — وهو ما يعزّز القيد</w:t>
      </w:r>
    </w:p>
    <w:p>
      <w:pPr>
        <w:bidi/>
        <w:jc w:val="start"/>
      </w:pPr>
      <w:r>
        <w:rPr>
          <w:rFonts w:ascii="IBM Plex Sans Arabic" w:hAnsi="IBM Plex Sans Arabic" w:cs="IBM Plex Sans Arabic"/>
          <w:rtl/>
        </w:rPr>
        <w:t>المنهجي ولا يُعالَج بتقدير تعويضي.</w:t>
      </w:r>
    </w:p>
    <w:p>
      <w:pPr>
        <w:pStyle w:val="Heading2"/>
        <w:bidi/>
        <w:jc w:val="start"/>
      </w:pPr>
      <w:r>
        <w:rPr>
          <w:rFonts w:ascii="IBM Plex Sans Arabic" w:hAnsi="IBM Plex Sans Arabic" w:cs="IBM Plex Sans Arabic"/>
          <w:rtl/>
        </w:rPr>
        <w:t>٣.٥ البيئة التنظيمية ومتطلبات الوصول</w:t>
      </w:r>
    </w:p>
    <w:p>
      <w:pPr>
        <w:bidi/>
        <w:jc w:val="start"/>
      </w:pPr>
      <w:r>
        <w:rPr>
          <w:rFonts w:ascii="IBM Plex Sans Arabic" w:hAnsi="IBM Plex Sans Arabic" w:cs="IBM Plex Sans Arabic"/>
          <w:rtl/>
        </w:rPr>
        <w:t>تشترط الجهات التنظيمية شهادة مطابقة خليجية وبطاقة بيانات عربية للأغذية</w:t>
      </w:r>
    </w:p>
    <w:p>
      <w:pPr>
        <w:bidi/>
        <w:jc w:val="start"/>
      </w:pPr>
      <w:r>
        <w:rPr>
          <w:rFonts w:ascii="IBM Plex Sans Arabic" w:hAnsi="IBM Plex Sans Arabic" w:cs="IBM Plex Sans Arabic"/>
          <w:rtl/>
        </w:rPr>
        <w:t>المعبأة، وتُعدّ هذه المتطلبات قابلة للاستيفاء ضمن المدد الاعتيادية.</w:t>
      </w:r>
    </w:p>
    <w:p>
      <w:pPr>
        <w:pStyle w:val="Heading2"/>
        <w:bidi/>
        <w:jc w:val="start"/>
      </w:pPr>
      <w:r>
        <w:rPr>
          <w:rFonts w:ascii="IBM Plex Sans Arabic" w:hAnsi="IBM Plex Sans Arabic" w:cs="IBM Plex Sans Arabic"/>
          <w:rtl/>
        </w:rPr>
        <w:t>٣.٦ اللوجستيات وسلسلة الإمداد</w:t>
      </w:r>
    </w:p>
    <w:p>
      <w:pPr>
        <w:bidi/>
        <w:jc w:val="start"/>
      </w:pPr>
      <w:r>
        <w:rPr>
          <w:rFonts w:ascii="IBM Plex Sans Arabic" w:hAnsi="IBM Plex Sans Arabic" w:cs="IBM Plex Sans Arabic"/>
          <w:rtl/>
        </w:rPr>
        <w:t>تتوافر خطوط شحن منتظمة قصيرة المدى من الموانئ السعودية، ولا تُسجَّل قيود</w:t>
      </w:r>
    </w:p>
    <w:p>
      <w:pPr>
        <w:bidi/>
        <w:jc w:val="start"/>
      </w:pPr>
      <w:r>
        <w:rPr>
          <w:rFonts w:ascii="IBM Plex Sans Arabic" w:hAnsi="IBM Plex Sans Arabic" w:cs="IBM Plex Sans Arabic"/>
          <w:rtl/>
        </w:rPr>
        <w:t>لوجستية حرجة في البيانات المتاحة.</w:t>
      </w:r>
    </w:p>
    <w:p>
      <w:pPr>
        <w:pStyle w:val="Heading2"/>
        <w:bidi/>
        <w:jc w:val="start"/>
      </w:pPr>
      <w:r>
        <w:rPr>
          <w:rFonts w:ascii="IBM Plex Sans Arabic" w:hAnsi="IBM Plex Sans Arabic" w:cs="IBM Plex Sans Arabic"/>
          <w:rtl/>
        </w:rPr>
        <w:t>٣.٧ المخاطر المرصودة</w:t>
      </w:r>
    </w:p>
    <w:p>
      <w:pPr>
        <w:bidi/>
        <w:jc w:val="start"/>
      </w:pPr>
      <w:r>
        <w:rPr>
          <w:rFonts w:ascii="IBM Plex Sans Arabic" w:hAnsi="IBM Plex Sans Arabic" w:cs="IBM Plex Sans Arabic"/>
          <w:rtl/>
        </w:rPr>
        <w:t>تشير مؤشرات الحوكمة المتاحة إلى استقرار مؤسسي مرتفع، ويظلّ الخطر الرئيس</w:t>
      </w:r>
    </w:p>
    <w:p>
      <w:pPr>
        <w:bidi/>
        <w:jc w:val="start"/>
      </w:pPr>
      <w:r>
        <w:rPr>
          <w:rFonts w:ascii="IBM Plex Sans Arabic" w:hAnsi="IBM Plex Sans Arabic" w:cs="IBM Plex Sans Arabic"/>
          <w:rtl/>
        </w:rPr>
        <w:t>معلوماتياً (فجوة التصنيف) لا سوقياً.</w:t>
      </w:r>
    </w:p>
    <w:p>
      <w:pPr>
        <w:pStyle w:val="Heading2"/>
        <w:bidi/>
        <w:jc w:val="start"/>
      </w:pPr>
      <w:r>
        <w:rPr>
          <w:rFonts w:ascii="IBM Plex Sans Arabic" w:hAnsi="IBM Plex Sans Arabic" w:cs="IBM Plex Sans Arabic"/>
          <w:rtl/>
        </w:rPr>
        <w:t>٣.٨ السياق الديموغرافي وحجم السكان</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2880"/>
        <w:gridCol w:w="2880"/>
        <w:gridCol w:w="2880"/>
      </w:tblGrid>
      <w:tr>
        <w:tc>
          <w:tcPr>
            <w:tcW w:type="dxa" w:w="312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البند المرصود</w:t>
            </w:r>
          </w:p>
        </w:tc>
        <w:tc>
          <w:tcPr>
            <w:tcW w:type="dxa" w:w="312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المصدر</w:t>
            </w:r>
          </w:p>
        </w:tc>
        <w:tc>
          <w:tcPr>
            <w:tcW w:type="dxa" w:w="312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قوة الدليل</w:t>
            </w:r>
          </w:p>
        </w:tc>
      </w:tr>
      <w:tr>
        <w:tc>
          <w:tcPr>
            <w:tcW w:type="dxa" w:w="3120"/>
            <w:tcMar>
              <w:top w:w="100" w:type="dxa"/>
              <w:bottom w:w="100" w:type="dxa"/>
              <w:left w:w="120" w:type="dxa"/>
              <w:right w:w="120" w:type="dxa"/>
            </w:tcMar>
          </w:tcPr>
          <w:p>
            <w:pPr>
              <w:bidi/>
              <w:jc w:val="start"/>
            </w:pPr>
            <w:r>
              <w:rPr>
                <w:rFonts w:ascii="IBM Plex Sans Arabic" w:hAnsi="IBM Plex Sans Arabic" w:cs="IBM Plex Sans Arabic"/>
                <w:rtl/>
              </w:rPr>
              <w:t>عدد السكان نحو 4.3 مليون نسمة (‏2023‏).</w:t>
            </w:r>
          </w:p>
        </w:tc>
        <w:tc>
          <w:tcPr>
            <w:tcW w:type="dxa" w:w="3120"/>
            <w:tcMar>
              <w:top w:w="100" w:type="dxa"/>
              <w:bottom w:w="100" w:type="dxa"/>
              <w:left w:w="120" w:type="dxa"/>
              <w:right w:w="120" w:type="dxa"/>
            </w:tcMar>
          </w:tcPr>
          <w:p>
            <w:pPr>
              <w:bidi/>
              <w:jc w:val="start"/>
            </w:pPr>
            <w:r>
              <w:rPr>
                <w:rFonts w:ascii="IBM Plex Sans Arabic" w:hAnsi="IBM Plex Sans Arabic" w:cs="IBM Plex Sans Arabic"/>
                <w:rtl/>
              </w:rPr>
              <w:t>World Bank</w:t>
            </w:r>
          </w:p>
        </w:tc>
        <w:tc>
          <w:tcPr>
            <w:tcW w:type="dxa" w:w="3120"/>
            <w:tcMar>
              <w:top w:w="100" w:type="dxa"/>
              <w:bottom w:w="100" w:type="dxa"/>
              <w:left w:w="120" w:type="dxa"/>
              <w:right w:w="120" w:type="dxa"/>
            </w:tcMar>
          </w:tcPr>
          <w:p>
            <w:pPr>
              <w:bidi/>
              <w:jc w:val="start"/>
            </w:pPr>
            <w:r>
              <w:rPr>
                <w:rFonts w:ascii="IBM Plex Sans Arabic" w:hAnsi="IBM Plex Sans Arabic" w:cs="IBM Plex Sans Arabic"/>
                <w:rtl/>
              </w:rPr>
              <w:t>✓ موثّق</w:t>
            </w:r>
          </w:p>
        </w:tc>
      </w:tr>
      <w:tr>
        <w:tc>
          <w:tcPr>
            <w:tcW w:type="dxa" w:w="3120"/>
            <w:tcMar>
              <w:top w:w="100" w:type="dxa"/>
              <w:bottom w:w="100" w:type="dxa"/>
              <w:left w:w="120" w:type="dxa"/>
              <w:right w:w="120" w:type="dxa"/>
            </w:tcMar>
            <w:shd w:val="clear" w:fill="F2F7F3"/>
          </w:tcPr>
          <w:p>
            <w:pPr>
              <w:bidi/>
              <w:jc w:val="start"/>
            </w:pPr>
            <w:r>
              <w:rPr>
                <w:rFonts w:ascii="IBM Plex Sans Arabic" w:hAnsi="IBM Plex Sans Arabic" w:cs="IBM Plex Sans Arabic"/>
                <w:rtl/>
              </w:rPr>
              <w:t>نصيب الفرد من الناتج المحلي مرتفع خليجياً.</w:t>
            </w:r>
          </w:p>
        </w:tc>
        <w:tc>
          <w:tcPr>
            <w:tcW w:type="dxa" w:w="3120"/>
            <w:tcMar>
              <w:top w:w="100" w:type="dxa"/>
              <w:bottom w:w="100" w:type="dxa"/>
              <w:left w:w="120" w:type="dxa"/>
              <w:right w:w="120" w:type="dxa"/>
            </w:tcMar>
            <w:shd w:val="clear" w:fill="F2F7F3"/>
          </w:tcPr>
          <w:p>
            <w:pPr>
              <w:bidi/>
              <w:jc w:val="start"/>
            </w:pPr>
            <w:r>
              <w:rPr>
                <w:rFonts w:ascii="IBM Plex Sans Arabic" w:hAnsi="IBM Plex Sans Arabic" w:cs="IBM Plex Sans Arabic"/>
                <w:rtl/>
              </w:rPr>
              <w:t>World Bank</w:t>
            </w:r>
          </w:p>
        </w:tc>
        <w:tc>
          <w:tcPr>
            <w:tcW w:type="dxa" w:w="3120"/>
            <w:tcMar>
              <w:top w:w="100" w:type="dxa"/>
              <w:bottom w:w="100" w:type="dxa"/>
              <w:left w:w="120" w:type="dxa"/>
              <w:right w:w="120" w:type="dxa"/>
            </w:tcMar>
            <w:shd w:val="clear" w:fill="F2F7F3"/>
          </w:tcPr>
          <w:p>
            <w:pPr>
              <w:bidi/>
              <w:jc w:val="start"/>
            </w:pPr>
            <w:r>
              <w:rPr>
                <w:rFonts w:ascii="IBM Plex Sans Arabic" w:hAnsi="IBM Plex Sans Arabic" w:cs="IBM Plex Sans Arabic"/>
                <w:rtl/>
              </w:rPr>
              <w:t>✓ موثّق</w:t>
            </w:r>
          </w:p>
        </w:tc>
      </w:tr>
    </w:tbl>
    <w:p>
      <w:pPr>
        <w:pStyle w:val="Heading2"/>
        <w:bidi/>
        <w:jc w:val="start"/>
      </w:pPr>
      <w:r>
        <w:rPr>
          <w:rFonts w:ascii="IBM Plex Sans Arabic" w:hAnsi="IBM Plex Sans Arabic" w:cs="IBM Plex Sans Arabic"/>
          <w:rtl/>
        </w:rPr>
        <w:t>٣.٩ ثقافة المستهلك وأنماط الطلب — الشواهد المرصودة</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2880"/>
        <w:gridCol w:w="2880"/>
        <w:gridCol w:w="2880"/>
      </w:tblGrid>
      <w:tr>
        <w:tc>
          <w:tcPr>
            <w:tcW w:type="dxa" w:w="312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البند المرصود</w:t>
            </w:r>
          </w:p>
        </w:tc>
        <w:tc>
          <w:tcPr>
            <w:tcW w:type="dxa" w:w="312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المصدر</w:t>
            </w:r>
          </w:p>
        </w:tc>
        <w:tc>
          <w:tcPr>
            <w:tcW w:type="dxa" w:w="312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قوة الدليل</w:t>
            </w:r>
          </w:p>
        </w:tc>
      </w:tr>
      <w:tr>
        <w:tc>
          <w:tcPr>
            <w:tcW w:type="dxa" w:w="3120"/>
            <w:tcMar>
              <w:top w:w="100" w:type="dxa"/>
              <w:bottom w:w="100" w:type="dxa"/>
              <w:left w:w="120" w:type="dxa"/>
              <w:right w:w="120" w:type="dxa"/>
            </w:tcMar>
          </w:tcPr>
          <w:p>
            <w:pPr>
              <w:bidi/>
              <w:jc w:val="start"/>
            </w:pPr>
            <w:r>
              <w:rPr>
                <w:rFonts w:ascii="IBM Plex Sans Arabic" w:hAnsi="IBM Plex Sans Arabic" w:cs="IBM Plex Sans Arabic"/>
                <w:rtl/>
              </w:rPr>
              <w:t>نمط استهلاك أسري لمنتجات الدهن القابل للدهن مع إقبال على العلامات المستوردة.</w:t>
            </w:r>
          </w:p>
        </w:tc>
        <w:tc>
          <w:tcPr>
            <w:tcW w:type="dxa" w:w="3120"/>
            <w:tcMar>
              <w:top w:w="100" w:type="dxa"/>
              <w:bottom w:w="100" w:type="dxa"/>
              <w:left w:w="120" w:type="dxa"/>
              <w:right w:w="120" w:type="dxa"/>
            </w:tcMar>
          </w:tcPr>
          <w:p>
            <w:pPr>
              <w:bidi/>
              <w:jc w:val="start"/>
            </w:pPr>
            <w:r>
              <w:rPr>
                <w:rFonts w:ascii="IBM Plex Sans Arabic" w:hAnsi="IBM Plex Sans Arabic" w:cs="IBM Plex Sans Arabic"/>
                <w:rtl/>
              </w:rPr>
              <w:t>رصد ميداني عام</w:t>
            </w:r>
          </w:p>
        </w:tc>
        <w:tc>
          <w:tcPr>
            <w:tcW w:type="dxa" w:w="3120"/>
            <w:tcMar>
              <w:top w:w="100" w:type="dxa"/>
              <w:bottom w:w="100" w:type="dxa"/>
              <w:left w:w="120" w:type="dxa"/>
              <w:right w:w="120" w:type="dxa"/>
            </w:tcMar>
          </w:tcPr>
          <w:p>
            <w:pPr>
              <w:bidi/>
              <w:jc w:val="start"/>
            </w:pPr>
            <w:r>
              <w:rPr>
                <w:rFonts w:ascii="IBM Plex Sans Arabic" w:hAnsi="IBM Plex Sans Arabic" w:cs="IBM Plex Sans Arabic"/>
                <w:rtl/>
              </w:rPr>
              <w:t>◐ ثانوي</w:t>
            </w:r>
          </w:p>
        </w:tc>
      </w:tr>
    </w:tbl>
    <w:p>
      <w:pPr>
        <w:pStyle w:val="Heading2"/>
        <w:bidi/>
        <w:jc w:val="start"/>
      </w:pPr>
      <w:r>
        <w:rPr>
          <w:rFonts w:ascii="IBM Plex Sans Arabic" w:hAnsi="IBM Plex Sans Arabic" w:cs="IBM Plex Sans Arabic"/>
          <w:rtl/>
        </w:rPr>
        <w:t>٣.١٠ الاشتراطات الجمركية ومتطلبات الدخول — الشواهد المرصودة</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2880"/>
        <w:gridCol w:w="2880"/>
        <w:gridCol w:w="2880"/>
      </w:tblGrid>
      <w:tr>
        <w:tc>
          <w:tcPr>
            <w:tcW w:type="dxa" w:w="312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البند المرصود</w:t>
            </w:r>
          </w:p>
        </w:tc>
        <w:tc>
          <w:tcPr>
            <w:tcW w:type="dxa" w:w="312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المصدر</w:t>
            </w:r>
          </w:p>
        </w:tc>
        <w:tc>
          <w:tcPr>
            <w:tcW w:type="dxa" w:w="312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قوة الدليل</w:t>
            </w:r>
          </w:p>
        </w:tc>
      </w:tr>
      <w:tr>
        <w:tc>
          <w:tcPr>
            <w:tcW w:type="dxa" w:w="3120"/>
            <w:tcMar>
              <w:top w:w="100" w:type="dxa"/>
              <w:bottom w:w="100" w:type="dxa"/>
              <w:left w:w="120" w:type="dxa"/>
              <w:right w:w="120" w:type="dxa"/>
            </w:tcMar>
          </w:tcPr>
          <w:p>
            <w:pPr>
              <w:bidi/>
              <w:jc w:val="start"/>
            </w:pPr>
            <w:r>
              <w:rPr>
                <w:rFonts w:ascii="IBM Plex Sans Arabic" w:hAnsi="IBM Plex Sans Arabic" w:cs="IBM Plex Sans Arabic"/>
                <w:rtl/>
              </w:rPr>
              <w:t>شهادة مطابقة خليجية (‏GSO‏) وبطاقة بيانات عربية إلزامية للأغذية المعبأة.</w:t>
            </w:r>
          </w:p>
        </w:tc>
        <w:tc>
          <w:tcPr>
            <w:tcW w:type="dxa" w:w="3120"/>
            <w:tcMar>
              <w:top w:w="100" w:type="dxa"/>
              <w:bottom w:w="100" w:type="dxa"/>
              <w:left w:w="120" w:type="dxa"/>
              <w:right w:w="120" w:type="dxa"/>
            </w:tcMar>
          </w:tcPr>
          <w:p>
            <w:pPr>
              <w:bidi/>
              <w:jc w:val="start"/>
            </w:pPr>
            <w:r>
              <w:rPr>
                <w:rFonts w:ascii="IBM Plex Sans Arabic" w:hAnsi="IBM Plex Sans Arabic" w:cs="IBM Plex Sans Arabic"/>
                <w:rtl/>
              </w:rPr>
              <w:t>GSO</w:t>
            </w:r>
          </w:p>
        </w:tc>
        <w:tc>
          <w:tcPr>
            <w:tcW w:type="dxa" w:w="3120"/>
            <w:tcMar>
              <w:top w:w="100" w:type="dxa"/>
              <w:bottom w:w="100" w:type="dxa"/>
              <w:left w:w="120" w:type="dxa"/>
              <w:right w:w="120" w:type="dxa"/>
            </w:tcMar>
          </w:tcPr>
          <w:p>
            <w:pPr>
              <w:bidi/>
              <w:jc w:val="start"/>
            </w:pPr>
            <w:r>
              <w:rPr>
                <w:rFonts w:ascii="IBM Plex Sans Arabic" w:hAnsi="IBM Plex Sans Arabic" w:cs="IBM Plex Sans Arabic"/>
                <w:rtl/>
              </w:rPr>
              <w:t>✓ موثّق</w:t>
            </w:r>
          </w:p>
        </w:tc>
      </w:tr>
      <w:tr>
        <w:tc>
          <w:tcPr>
            <w:tcW w:type="dxa" w:w="3120"/>
            <w:tcMar>
              <w:top w:w="100" w:type="dxa"/>
              <w:bottom w:w="100" w:type="dxa"/>
              <w:left w:w="120" w:type="dxa"/>
              <w:right w:w="120" w:type="dxa"/>
            </w:tcMar>
            <w:shd w:val="clear" w:fill="F2F7F3"/>
          </w:tcPr>
          <w:p>
            <w:pPr>
              <w:bidi/>
              <w:jc w:val="start"/>
            </w:pPr>
            <w:r>
              <w:rPr>
                <w:rFonts w:ascii="IBM Plex Sans Arabic" w:hAnsi="IBM Plex Sans Arabic" w:cs="IBM Plex Sans Arabic"/>
                <w:rtl/>
              </w:rPr>
              <w:t>شهادة حلال لمكوّنات المنشأ الحيواني حيث انطبق.</w:t>
            </w:r>
          </w:p>
        </w:tc>
        <w:tc>
          <w:tcPr>
            <w:tcW w:type="dxa" w:w="3120"/>
            <w:tcMar>
              <w:top w:w="100" w:type="dxa"/>
              <w:bottom w:w="100" w:type="dxa"/>
              <w:left w:w="120" w:type="dxa"/>
              <w:right w:w="120" w:type="dxa"/>
            </w:tcMar>
            <w:shd w:val="clear" w:fill="F2F7F3"/>
          </w:tcPr>
          <w:p>
            <w:pPr>
              <w:bidi/>
              <w:jc w:val="start"/>
            </w:pPr>
            <w:r>
              <w:rPr>
                <w:rFonts w:ascii="IBM Plex Sans Arabic" w:hAnsi="IBM Plex Sans Arabic" w:cs="IBM Plex Sans Arabic"/>
                <w:rtl/>
              </w:rPr>
              <w:t>بلدية الكويت — اشتراطات الأغذية</w:t>
            </w:r>
          </w:p>
        </w:tc>
        <w:tc>
          <w:tcPr>
            <w:tcW w:type="dxa" w:w="3120"/>
            <w:tcMar>
              <w:top w:w="100" w:type="dxa"/>
              <w:bottom w:w="100" w:type="dxa"/>
              <w:left w:w="120" w:type="dxa"/>
              <w:right w:w="120" w:type="dxa"/>
            </w:tcMar>
            <w:shd w:val="clear" w:fill="F2F7F3"/>
          </w:tcPr>
          <w:p>
            <w:pPr>
              <w:bidi/>
              <w:jc w:val="start"/>
            </w:pPr>
            <w:r>
              <w:rPr>
                <w:rFonts w:ascii="IBM Plex Sans Arabic" w:hAnsi="IBM Plex Sans Arabic" w:cs="IBM Plex Sans Arabic"/>
                <w:rtl/>
              </w:rPr>
              <w:t>◐ ثانوي</w:t>
            </w:r>
          </w:p>
        </w:tc>
      </w:tr>
    </w:tbl>
    <w:p>
      <w:pPr>
        <w:pStyle w:val="Heading1"/>
        <w:bidi/>
        <w:jc w:val="start"/>
      </w:pPr>
      <w:r>
        <w:rPr>
          <w:rFonts w:ascii="IBM Plex Sans Arabic" w:hAnsi="IBM Plex Sans Arabic" w:cs="IBM Plex Sans Arabic"/>
          <w:rtl/>
        </w:rPr>
        <w:t>٤. المناقشة</w:t>
      </w:r>
    </w:p>
    <w:p>
      <w:pPr>
        <w:bidi/>
        <w:jc w:val="start"/>
      </w:pPr>
      <w:r>
        <w:rPr>
          <w:rFonts w:ascii="IBM Plex Sans Arabic" w:hAnsi="IBM Plex Sans Arabic" w:cs="IBM Plex Sans Arabic"/>
          <w:rtl/>
        </w:rPr>
        <w:t>تخلص الدراسة إلى توصيةٍ بمراقبة السوق بدرجة ثقة منخفضة (‏50%‏). تشير بيانات</w:t>
      </w:r>
    </w:p>
    <w:p>
      <w:pPr>
        <w:bidi/>
        <w:jc w:val="start"/>
      </w:pPr>
      <w:r>
        <w:rPr>
          <w:rFonts w:ascii="IBM Plex Sans Arabic" w:hAnsi="IBM Plex Sans Arabic" w:cs="IBM Plex Sans Arabic"/>
          <w:rtl/>
        </w:rPr>
        <w:t>UN Comtrade إلى واردات بنحو 9 ملايين دولار (‏2023‏) تحت الرمز المرصود 040510،</w:t>
      </w:r>
    </w:p>
    <w:p>
      <w:pPr>
        <w:bidi/>
        <w:jc w:val="start"/>
      </w:pPr>
      <w:r>
        <w:rPr>
          <w:rFonts w:ascii="IBM Plex Sans Arabic" w:hAnsi="IBM Plex Sans Arabic" w:cs="IBM Plex Sans Arabic"/>
          <w:rtl/>
        </w:rPr>
        <w:t>في بيئة مرتفعة التركّز (HHI (مؤشر يقيس تركّز السوق بين المورّدين) = 2900).</w:t>
      </w:r>
    </w:p>
    <w:p>
      <w:pPr>
        <w:bidi/>
        <w:jc w:val="start"/>
      </w:pPr>
      <w:r>
        <w:rPr>
          <w:rFonts w:ascii="IBM Plex Sans Arabic" w:hAnsi="IBM Plex Sans Arabic" w:cs="IBM Plex Sans Arabic"/>
          <w:rtl/>
        </w:rPr>
        <w:t>دلالة هذه النتيجة: لا تتوافر أرضية يقين كافية لالتزام استثماري قبل</w:t>
      </w:r>
    </w:p>
    <w:p>
      <w:pPr>
        <w:bidi/>
        <w:jc w:val="start"/>
      </w:pPr>
      <w:r>
        <w:rPr>
          <w:rFonts w:ascii="IBM Plex Sans Arabic" w:hAnsi="IBM Plex Sans Arabic" w:cs="IBM Plex Sans Arabic"/>
          <w:rtl/>
        </w:rPr>
        <w:t>إغلاق فجوة التصنيف الجمركي وتوثيق قناة التوزيع.</w:t>
      </w:r>
    </w:p>
    <w:p>
      <w:pPr>
        <w:bidi/>
        <w:jc w:val="start"/>
      </w:pPr>
      <w:r>
        <w:rPr>
          <w:rFonts w:ascii="IBM Plex Sans Arabic" w:hAnsi="IBM Plex Sans Arabic" w:cs="IBM Plex Sans Arabic"/>
          <w:rtl/>
        </w:rPr>
        <w:t>تخلص الدراسة إلى إرجاء قرار الدخول مع مراقبة نشطة، وإعادة التقييم فور</w:t>
      </w:r>
    </w:p>
    <w:p>
      <w:pPr>
        <w:bidi/>
        <w:jc w:val="start"/>
      </w:pPr>
      <w:r>
        <w:rPr>
          <w:rFonts w:ascii="IBM Plex Sans Arabic" w:hAnsi="IBM Plex Sans Arabic" w:cs="IBM Plex Sans Arabic"/>
          <w:rtl/>
        </w:rPr>
        <w:t>إعادة التصنيف الجمركي وتوثيق موزّع محلي مؤكَّد.</w:t>
      </w:r>
    </w:p>
    <w:p>
      <w:pPr>
        <w:bidi/>
        <w:jc w:val="start"/>
      </w:pPr>
      <w:r>
        <w:rPr>
          <w:rFonts w:ascii="IBM Plex Sans Arabic" w:hAnsi="IBM Plex Sans Arabic" w:cs="IBM Plex Sans Arabic"/>
          <w:rtl/>
        </w:rPr>
        <w:t>دلالة هذه النتيجة: يتحدّد مسار القرار بإغلاق شرطي القلب لا بمؤشرات</w:t>
      </w:r>
    </w:p>
    <w:p>
      <w:pPr>
        <w:bidi/>
        <w:jc w:val="start"/>
      </w:pPr>
      <w:r>
        <w:rPr>
          <w:rFonts w:ascii="IBM Plex Sans Arabic" w:hAnsi="IBM Plex Sans Arabic" w:cs="IBM Plex Sans Arabic"/>
          <w:rtl/>
        </w:rPr>
        <w:t>السوق وحدها.</w:t>
      </w:r>
    </w:p>
    <w:p>
      <w:pPr>
        <w:pStyle w:val="Heading1"/>
        <w:bidi/>
        <w:jc w:val="start"/>
      </w:pPr>
      <w:r>
        <w:rPr>
          <w:rFonts w:ascii="IBM Plex Sans Arabic" w:hAnsi="IBM Plex Sans Arabic" w:cs="IBM Plex Sans Arabic"/>
          <w:rtl/>
        </w:rPr>
        <w:t>٥. الاستنتاجات</w:t>
      </w:r>
    </w:p>
    <w:p>
      <w:pPr>
        <w:bidi/>
        <w:jc w:val="start"/>
      </w:pPr>
      <w:r>
        <w:rPr>
          <w:rFonts w:ascii="IBM Plex Sans Arabic" w:hAnsi="IBM Plex Sans Arabic" w:cs="IBM Plex Sans Arabic"/>
          <w:rtl/>
        </w:rPr>
        <w:t>تخلص الدراسة إلى التوصية التالية: مراقبة السوق.</w:t>
      </w:r>
    </w:p>
    <w:p>
      <w:pPr>
        <w:bidi/>
        <w:jc w:val="start"/>
      </w:pPr>
      <w:r>
        <w:rPr>
          <w:rFonts w:ascii="IBM Plex Sans Arabic" w:hAnsi="IBM Plex Sans Arabic" w:cs="IBM Plex Sans Arabic"/>
          <w:rtl/>
        </w:rPr>
        <w:t>سوق يحتاج بيانات تحت الرمز الصحيح وموزّعاً مؤكَّداً قبل الالتزام.</w:t>
      </w:r>
    </w:p>
    <w:p>
      <w:pPr>
        <w:pStyle w:val="Heading1"/>
        <w:bidi/>
        <w:jc w:val="start"/>
      </w:pPr>
      <w:r>
        <w:rPr>
          <w:rFonts w:ascii="IBM Plex Sans Arabic" w:hAnsi="IBM Plex Sans Arabic" w:cs="IBM Plex Sans Arabic"/>
          <w:rtl/>
        </w:rPr>
        <w:t>٦. حدود الدراسة والبحث المستقبلي</w:t>
      </w:r>
    </w:p>
    <w:p>
      <w:pPr>
        <w:pStyle w:val="ListBullet"/>
        <w:bidi/>
        <w:jc w:val="start"/>
      </w:pPr>
      <w:r>
        <w:rPr>
          <w:rFonts w:ascii="IBM Plex Sans Arabic" w:hAnsi="IBM Plex Sans Arabic" w:cs="IBM Plex Sans Arabic"/>
          <w:rtl/>
        </w:rPr>
        <w:t>لم يتحقّق بعد: توفّر بيانات استيراد موثوقة تحت رمز HS الصحيح — إغلاق هذا الشرط يتطلّب إعادة تصنيف الرمز ثم سحب واردات كومتريد تحته.</w:t>
      </w:r>
    </w:p>
    <w:p>
      <w:pPr>
        <w:pStyle w:val="ListBullet"/>
        <w:bidi/>
        <w:jc w:val="start"/>
      </w:pPr>
      <w:r>
        <w:rPr>
          <w:rFonts w:ascii="IBM Plex Sans Arabic" w:hAnsi="IBM Plex Sans Arabic" w:cs="IBM Plex Sans Arabic"/>
          <w:rtl/>
        </w:rPr>
        <w:t>لم يتحقّق بعد: التعاقد مع موزّع محلي مؤكَّد بالاسم في الكويت — إغلاق هذا الشرط يتطلّب خدمة تحقّق جهات الاتصال المدفوعة ثم عقد موزّع.</w:t>
      </w:r>
    </w:p>
    <w:p>
      <w:pPr>
        <w:pStyle w:val="Heading1"/>
        <w:bidi/>
        <w:jc w:val="start"/>
      </w:pPr>
      <w:r>
        <w:rPr>
          <w:rFonts w:ascii="IBM Plex Sans Arabic" w:hAnsi="IBM Plex Sans Arabic" w:cs="IBM Plex Sans Arabic"/>
          <w:rtl/>
        </w:rPr>
        <w:t>٧. التوصيات</w:t>
      </w:r>
    </w:p>
    <w:p>
      <w:pPr>
        <w:bidi/>
        <w:jc w:val="start"/>
      </w:pPr>
      <w:r>
        <w:rPr>
          <w:rFonts w:ascii="IBM Plex Sans Arabic" w:hAnsi="IBM Plex Sans Arabic" w:cs="IBM Plex Sans Arabic"/>
          <w:rtl/>
        </w:rPr>
        <w:t>بناءً على النتائج والمناقشة أعلاه، توصي الدراسة بما يلي:</w:t>
      </w:r>
    </w:p>
    <w:p>
      <w:pPr>
        <w:pStyle w:val="ListNumber"/>
        <w:bidi/>
        <w:jc w:val="start"/>
      </w:pPr>
      <w:r>
        <w:rPr>
          <w:rFonts w:ascii="IBM Plex Sans Arabic" w:hAnsi="IBM Plex Sans Arabic" w:cs="IBM Plex Sans Arabic"/>
          <w:rtl/>
        </w:rPr>
        <w:t>التوصية الرئيسة: إرجاء قرار دخول السوق مع إبقائه قيد المراقبة النشطة، وإعادة التقييم فور استيفاء الشروط أدناه.</w:t>
      </w:r>
    </w:p>
    <w:p>
      <w:pPr>
        <w:pStyle w:val="ListNumber"/>
        <w:bidi/>
        <w:jc w:val="start"/>
      </w:pPr>
      <w:r>
        <w:rPr>
          <w:rFonts w:ascii="IBM Plex Sans Arabic" w:hAnsi="IBM Plex Sans Arabic" w:cs="IBM Plex Sans Arabic"/>
          <w:rtl/>
        </w:rPr>
        <w:t>توفّر بيانات استيراد موثوقة تحت رمز HS الصحيح — ○ غير محقَّق؛ يُغلَق عبر: إعادة تصنيف الرمز ثم سحب واردات كومتريد تحته.</w:t>
      </w:r>
    </w:p>
    <w:p>
      <w:pPr>
        <w:pStyle w:val="ListNumber"/>
        <w:bidi/>
        <w:jc w:val="start"/>
      </w:pPr>
      <w:r>
        <w:rPr>
          <w:rFonts w:ascii="IBM Plex Sans Arabic" w:hAnsi="IBM Plex Sans Arabic" w:cs="IBM Plex Sans Arabic"/>
          <w:rtl/>
        </w:rPr>
        <w:t>التعاقد مع موزّع محلي مؤكَّد بالاسم في الكويت — ○ غير محقَّق؛ يُغلَق عبر: خدمة تحقّق جهات الاتصال المدفوعة ثم عقد موزّع.</w:t>
      </w:r>
    </w:p>
    <w:p>
      <w:pPr>
        <w:pStyle w:val="Heading3"/>
        <w:bidi/>
        <w:jc w:val="start"/>
      </w:pPr>
      <w:r>
        <w:rPr>
          <w:rFonts w:ascii="IBM Plex Sans Arabic" w:hAnsi="IBM Plex Sans Arabic" w:cs="IBM Plex Sans Arabic"/>
          <w:rtl/>
        </w:rPr>
        <w:t>خارطة طريق الدخول (٩٠ يوماً)</w:t>
      </w:r>
    </w:p>
    <w:p>
      <w:pPr>
        <w:bidi/>
        <w:jc w:val="start"/>
      </w:pPr>
      <w:r>
        <w:rPr>
          <w:rFonts w:ascii="IBM Plex Sans Arabic" w:hAnsi="IBM Plex Sans Arabic" w:cs="IBM Plex Sans Arabic"/>
          <w:rtl/>
        </w:rPr>
        <w:t>تُستهَل المرحلة الأولى بإعادة التصنيف وسحب السلاسل تحت البند الصحيح، تليها</w:t>
      </w:r>
    </w:p>
    <w:p>
      <w:pPr>
        <w:bidi/>
        <w:jc w:val="start"/>
      </w:pPr>
      <w:r>
        <w:rPr>
          <w:rFonts w:ascii="IBM Plex Sans Arabic" w:hAnsi="IBM Plex Sans Arabic" w:cs="IBM Plex Sans Arabic"/>
          <w:rtl/>
        </w:rPr>
        <w:t>مخاطبة موزّعين مرشّحين للتحقق المستقل.</w:t>
      </w:r>
    </w:p>
    <w:p>
      <w:pPr>
        <w:pStyle w:val="Heading1"/>
        <w:bidi/>
        <w:jc w:val="start"/>
      </w:pPr>
      <w:r>
        <w:rPr>
          <w:rFonts w:ascii="IBM Plex Sans Arabic" w:hAnsi="IBM Plex Sans Arabic" w:cs="IBM Plex Sans Arabic"/>
          <w:rtl/>
        </w:rPr>
        <w:t>المراجع</w:t>
      </w:r>
    </w:p>
    <w:p>
      <w:pPr>
        <w:bidi/>
        <w:jc w:val="start"/>
      </w:pPr>
      <w:r>
        <w:rPr>
          <w:rFonts w:ascii="IBM Plex Sans Arabic" w:hAnsi="IBM Plex Sans Arabic" w:cs="IBM Plex Sans Arabic"/>
          <w:rtl/>
        </w:rPr>
        <w:t>اعتمد هذا التقرير على مصادر رسمية عامة (‏GSO، Google Maps، UN Comtrade، World Bank، بلدية الكويت، رصد ميداني عام‏)، مع تحليل تقاطعي بينها ومراجعة للاتساق قبل الاعتماد. خضعت كل معلومة للتحقّق من مصدرها العمومي المباشر. أحدث تاريخ جمع بيانات: 2026-07-20. قائمة المراجع الكاملة بروابطها الرسمية ختام التقرير.</w:t>
      </w:r>
    </w:p>
    <w:p>
      <w:pPr>
        <w:pStyle w:val="ListBullet"/>
        <w:bidi/>
        <w:jc w:val="start"/>
      </w:pPr>
      <w:r>
        <w:rPr>
          <w:rFonts w:ascii="IBM Plex Sans Arabic" w:hAnsi="IBM Plex Sans Arabic" w:cs="IBM Plex Sans Arabic"/>
          <w:rtl/>
        </w:rPr>
        <w:t>UN Comtrade — https://comtradeplus.un.org/ (‏تاريخ الجمع: 2026-07-20‏)</w:t>
      </w:r>
    </w:p>
    <w:p>
      <w:pPr>
        <w:pStyle w:val="ListBullet"/>
        <w:bidi/>
        <w:jc w:val="start"/>
      </w:pPr>
      <w:r>
        <w:rPr>
          <w:rFonts w:ascii="IBM Plex Sans Arabic" w:hAnsi="IBM Plex Sans Arabic" w:cs="IBM Plex Sans Arabic"/>
          <w:rtl/>
        </w:rPr>
        <w:t>World Bank — https://data.albankaldawli.org/ (‏تاريخ الجمع: 2026-07-20‏)</w:t>
      </w:r>
    </w:p>
    <w:p>
      <w:pPr>
        <w:pStyle w:val="Heading2"/>
        <w:bidi/>
        <w:jc w:val="start"/>
      </w:pPr>
      <w:r>
        <w:rPr>
          <w:rFonts w:ascii="IBM Plex Sans Arabic" w:hAnsi="IBM Plex Sans Arabic" w:cs="IBM Plex Sans Arabic"/>
          <w:rtl/>
        </w:rPr>
        <w:t>مسرد المصطلحات</w:t>
      </w:r>
    </w:p>
    <w:p>
      <w:pPr>
        <w:pStyle w:val="ListBullet"/>
        <w:bidi/>
        <w:jc w:val="start"/>
      </w:pPr>
      <w:r>
        <w:rPr>
          <w:rFonts w:ascii="IBM Plex Sans Arabic" w:hAnsi="IBM Plex Sans Arabic" w:cs="IBM Plex Sans Arabic"/>
          <w:rtl/>
        </w:rPr>
        <w:t>HHI: مؤشر يقيس تركّز السوق بين المورّدين: فوق 2500 تركّز مرتفع</w:t>
      </w:r>
    </w:p>
    <w:p>
      <w:pPr>
        <w:pStyle w:val="ListBullet"/>
        <w:bidi/>
        <w:jc w:val="start"/>
      </w:pPr>
      <w:r>
        <w:rPr>
          <w:rFonts w:ascii="IBM Plex Sans Arabic" w:hAnsi="IBM Plex Sans Arabic" w:cs="IBM Plex Sans Arabic"/>
          <w:rtl/>
        </w:rPr>
        <w:t>CAGR: متوسط النمو السنوي المركّب</w:t>
      </w:r>
    </w:p>
    <w:sectPr w:rsidR="00FC693F" w:rsidRPr="0006063C" w:rsidSect="00034616">
      <w:headerReference w:type="default" r:id="rId9"/>
      <w:footerReference w:type="default" r:id="rId10"/>
      <w:pgSz w:w="11906" w:h="16838"/>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start"/>
    </w:pPr>
    <w:r>
      <w:rPr>
        <w:rFonts w:ascii="IBM Plex Sans Arabic" w:hAnsi="IBM Plex Sans Arabic" w:cs="IBM Plex Sans Arabic"/>
        <w:rtl/>
      </w:rPr>
      <w:t xml:space="preserve">سلك لذكاء الأسواق — منصة تحليل أسواق التصدير السعودية — صفحة </w:t>
    </w:r>
    <w:r>
      <w:rPr>
        <w:rFonts w:ascii="IBM Plex Sans Arabic" w:hAnsi="IBM Plex Sans Arabic" w:cs="IBM Plex Sans Arabic"/>
        <w:rtl/>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jc w:val="start"/>
    </w:pPr>
    <w:r>
      <w:rPr>
        <w:rFonts w:ascii="IBM Plex Sans Arabic" w:hAnsi="IBM Plex Sans Arabic" w:cs="IBM Plex Sans Arabic"/>
        <w:rtl/>
      </w:rPr>
      <w:t>سلك — دراسة سوق تصديرية: زبدة الفول السوداني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spacing w:line="345" w:lineRule="auto" w:after="180"/>
      <w:jc w:val="start"/>
    </w:pPr>
    <w:rPr>
      <w:rFonts w:ascii="IBM Plex Sans Arabic" w:hAnsi="IBM Plex Sans Arabic" w:cs="IBM Plex Sans Arabic"/>
      <w:sz w:val="22"/>
      <w:rtl/>
    </w:rPr>
  </w:style>
  <w:style w:type="paragraph" w:styleId="Header">
    <w:name w:val="header"/>
    <w:basedOn w:val="Normal"/>
    <w:link w:val="HeaderChar"/>
    <w:uiPriority w:val="99"/>
    <w:unhideWhenUsed/>
    <w:rsid w:val="00E618BF"/>
    <w:pPr>
      <w:tabs>
        <w:tab w:val="center" w:pos="4680"/>
        <w:tab w:val="right" w:pos="9360"/>
      </w:tabs>
      <w:spacing w:after="0" w:line="240" w:lineRule="auto"/>
      <w:bidi/>
      <w:jc w:val="start"/>
    </w:pPr>
    <w:rPr>
      <w:rFonts w:ascii="IBM Plex Sans Arabic" w:hAnsi="IBM Plex Sans Arabic" w:cs="IBM Plex Sans Arabic"/>
      <w:color w:val="555555"/>
      <w:sz w:val="18"/>
      <w:rt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idi/>
      <w:jc w:val="start"/>
    </w:pPr>
    <w:rPr>
      <w:rFonts w:ascii="IBM Plex Sans Arabic" w:hAnsi="IBM Plex Sans Arabic" w:cs="IBM Plex Sans Arabic"/>
      <w:color w:val="555555"/>
      <w:sz w:val="18"/>
      <w:rt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bidi/>
      <w:jc w:val="start"/>
    </w:pPr>
    <w:rPr>
      <w:rFonts w:asciiTheme="majorHAnsi" w:eastAsiaTheme="majorEastAsia" w:hAnsiTheme="majorHAnsi" w:cstheme="majorBidi" w:ascii="IBM Plex Sans Arabic" w:hAnsi="IBM Plex Sans Arabic" w:cs="IBM Plex Sans Arabic"/>
      <w:b/>
      <w:bCs/>
      <w:color w:val="166534"/>
      <w:sz w:val="28"/>
      <w:szCs w:val="28"/>
      <w:rtl/>
    </w:rPr>
  </w:style>
  <w:style w:type="paragraph" w:styleId="Heading2">
    <w:name w:val="heading 2"/>
    <w:basedOn w:val="Normal"/>
    <w:next w:val="Normal"/>
    <w:link w:val="Heading2Char"/>
    <w:uiPriority w:val="9"/>
    <w:unhideWhenUsed/>
    <w:qFormat/>
    <w:rsid w:val="00FC693F"/>
    <w:pPr>
      <w:keepNext/>
      <w:keepLines/>
      <w:spacing w:before="200" w:after="0"/>
      <w:outlineLvl w:val="1"/>
      <w:bidi/>
      <w:jc w:val="start"/>
    </w:pPr>
    <w:rPr>
      <w:rFonts w:asciiTheme="majorHAnsi" w:eastAsiaTheme="majorEastAsia" w:hAnsiTheme="majorHAnsi" w:cstheme="majorBidi" w:ascii="IBM Plex Sans Arabic" w:hAnsi="IBM Plex Sans Arabic" w:cs="IBM Plex Sans Arabic"/>
      <w:b/>
      <w:bCs/>
      <w:color w:val="166534"/>
      <w:sz w:val="26"/>
      <w:szCs w:val="26"/>
      <w:rtl/>
    </w:rPr>
  </w:style>
  <w:style w:type="paragraph" w:styleId="Heading3">
    <w:name w:val="heading 3"/>
    <w:basedOn w:val="Normal"/>
    <w:next w:val="Normal"/>
    <w:link w:val="Heading3Char"/>
    <w:uiPriority w:val="9"/>
    <w:unhideWhenUsed/>
    <w:qFormat/>
    <w:rsid w:val="00FC693F"/>
    <w:pPr>
      <w:keepNext/>
      <w:keepLines/>
      <w:spacing w:before="200" w:after="0"/>
      <w:outlineLvl w:val="2"/>
      <w:bidi/>
      <w:jc w:val="start"/>
    </w:pPr>
    <w:rPr>
      <w:rFonts w:asciiTheme="majorHAnsi" w:eastAsiaTheme="majorEastAsia" w:hAnsiTheme="majorHAnsi" w:cstheme="majorBidi" w:ascii="IBM Plex Sans Arabic" w:hAnsi="IBM Plex Sans Arabic" w:cs="IBM Plex Sans Arabic"/>
      <w:b/>
      <w:bCs/>
      <w:color w:val="333333"/>
      <w:sz w:val="24"/>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bidi/>
      <w:jc w:val="start"/>
    </w:pPr>
    <w:rPr>
      <w:rFonts w:asciiTheme="majorHAnsi" w:eastAsiaTheme="majorEastAsia" w:hAnsiTheme="majorHAnsi" w:cstheme="majorBidi" w:ascii="IBM Plex Sans Arabic" w:hAnsi="IBM Plex Sans Arabic" w:cs="IBM Plex Sans Arabic"/>
      <w:b/>
      <w:bCs/>
      <w:i/>
      <w:iCs/>
      <w:color w:val="4F81BD" w:themeColor="accent1"/>
      <w:rt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bidi/>
      <w:jc w:val="start"/>
    </w:pPr>
    <w:rPr>
      <w:rFonts w:asciiTheme="majorHAnsi" w:eastAsiaTheme="majorEastAsia" w:hAnsiTheme="majorHAnsi" w:cstheme="majorBidi" w:ascii="IBM Plex Sans Arabic" w:hAnsi="IBM Plex Sans Arabic" w:cs="IBM Plex Sans Arabic"/>
      <w:color w:val="243F60" w:themeColor="accent1" w:themeShade="7F"/>
      <w:rtl/>
    </w:rPr>
  </w:style>
  <w:style w:type="paragraph" w:styleId="Heading6">
    <w:name w:val="heading 6"/>
    <w:basedOn w:val="Normal"/>
    <w:next w:val="Normal"/>
    <w:link w:val="Heading6Char"/>
    <w:uiPriority w:val="9"/>
    <w:semiHidden/>
    <w:unhideWhenUsed/>
    <w:qFormat/>
    <w:rsid w:val="00FC693F"/>
    <w:pPr>
      <w:keepNext/>
      <w:keepLines/>
      <w:spacing w:before="200" w:after="0"/>
      <w:outlineLvl w:val="5"/>
      <w:bidi/>
      <w:jc w:val="start"/>
    </w:pPr>
    <w:rPr>
      <w:rFonts w:asciiTheme="majorHAnsi" w:eastAsiaTheme="majorEastAsia" w:hAnsiTheme="majorHAnsi" w:cstheme="majorBidi" w:ascii="IBM Plex Sans Arabic" w:hAnsi="IBM Plex Sans Arabic" w:cs="IBM Plex Sans Arabic"/>
      <w:i/>
      <w:iCs/>
      <w:color w:val="243F60" w:themeColor="accent1" w:themeShade="7F"/>
      <w:rtl/>
    </w:rPr>
  </w:style>
  <w:style w:type="paragraph" w:styleId="Heading7">
    <w:name w:val="heading 7"/>
    <w:basedOn w:val="Normal"/>
    <w:next w:val="Normal"/>
    <w:link w:val="Heading7Char"/>
    <w:uiPriority w:val="9"/>
    <w:semiHidden/>
    <w:unhideWhenUsed/>
    <w:qFormat/>
    <w:rsid w:val="00FC693F"/>
    <w:pPr>
      <w:keepNext/>
      <w:keepLines/>
      <w:spacing w:before="200" w:after="0"/>
      <w:outlineLvl w:val="6"/>
      <w:bidi/>
      <w:jc w:val="start"/>
    </w:pPr>
    <w:rPr>
      <w:rFonts w:asciiTheme="majorHAnsi" w:eastAsiaTheme="majorEastAsia" w:hAnsiTheme="majorHAnsi" w:cstheme="majorBidi" w:ascii="IBM Plex Sans Arabic" w:hAnsi="IBM Plex Sans Arabic" w:cs="IBM Plex Sans Arabic"/>
      <w:i/>
      <w:iCs/>
      <w:color w:val="404040" w:themeColor="text1" w:themeTint="BF"/>
      <w:rtl/>
    </w:rPr>
  </w:style>
  <w:style w:type="paragraph" w:styleId="Heading8">
    <w:name w:val="heading 8"/>
    <w:basedOn w:val="Normal"/>
    <w:next w:val="Normal"/>
    <w:link w:val="Heading8Char"/>
    <w:uiPriority w:val="9"/>
    <w:semiHidden/>
    <w:unhideWhenUsed/>
    <w:qFormat/>
    <w:rsid w:val="00FC693F"/>
    <w:pPr>
      <w:keepNext/>
      <w:keepLines/>
      <w:spacing w:before="200" w:after="0"/>
      <w:outlineLvl w:val="7"/>
      <w:bidi/>
      <w:jc w:val="start"/>
    </w:pPr>
    <w:rPr>
      <w:rFonts w:asciiTheme="majorHAnsi" w:eastAsiaTheme="majorEastAsia" w:hAnsiTheme="majorHAnsi" w:cstheme="majorBidi" w:ascii="IBM Plex Sans Arabic" w:hAnsi="IBM Plex Sans Arabic" w:cs="IBM Plex Sans Arabic"/>
      <w:color w:val="4F81BD" w:themeColor="accent1"/>
      <w:sz w:val="20"/>
      <w:szCs w:val="20"/>
      <w:rtl/>
    </w:rPr>
  </w:style>
  <w:style w:type="paragraph" w:styleId="Heading9">
    <w:name w:val="heading 9"/>
    <w:basedOn w:val="Normal"/>
    <w:next w:val="Normal"/>
    <w:link w:val="Heading9Char"/>
    <w:uiPriority w:val="9"/>
    <w:semiHidden/>
    <w:unhideWhenUsed/>
    <w:qFormat/>
    <w:rsid w:val="00FC693F"/>
    <w:pPr>
      <w:keepNext/>
      <w:keepLines/>
      <w:spacing w:before="200" w:after="0"/>
      <w:outlineLvl w:val="8"/>
      <w:bidi/>
      <w:jc w:val="start"/>
    </w:pPr>
    <w:rPr>
      <w:rFonts w:asciiTheme="majorHAnsi" w:eastAsiaTheme="majorEastAsia" w:hAnsiTheme="majorHAnsi" w:cstheme="majorBidi" w:ascii="IBM Plex Sans Arabic" w:hAnsi="IBM Plex Sans Arabic" w:cs="IBM Plex Sans Arabic"/>
      <w:i/>
      <w:iCs/>
      <w:color w:val="404040" w:themeColor="text1" w:themeTint="BF"/>
      <w:sz w:val="20"/>
      <w:szCs w:val="20"/>
      <w:rt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bidi/>
      <w:jc w:val="start"/>
    </w:pPr>
    <w:rPr>
      <w:rFonts w:ascii="IBM Plex Sans Arabic" w:hAnsi="IBM Plex Sans Arabic" w:cs="IBM Plex Sans Arabic"/>
      <w:rt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bidi/>
      <w:jc w:val="start"/>
    </w:pPr>
    <w:rPr>
      <w:rFonts w:asciiTheme="majorHAnsi" w:eastAsiaTheme="majorEastAsia" w:hAnsiTheme="majorHAnsi" w:cstheme="majorBidi" w:ascii="IBM Plex Sans Arabic" w:hAnsi="IBM Plex Sans Arabic" w:cs="IBM Plex Sans Arabic"/>
      <w:b/>
      <w:color w:val="166534"/>
      <w:spacing w:val="5"/>
      <w:kern w:val="28"/>
      <w:sz w:val="36"/>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bidi/>
      <w:jc w:val="start"/>
    </w:pPr>
    <w:rPr>
      <w:rFonts w:asciiTheme="majorHAnsi" w:eastAsiaTheme="majorEastAsia" w:hAnsiTheme="majorHAnsi" w:cstheme="majorBidi" w:ascii="IBM Plex Sans Arabic" w:hAnsi="IBM Plex Sans Arabic" w:cs="IBM Plex Sans Arabic"/>
      <w:i/>
      <w:iCs/>
      <w:color w:val="4F81BD" w:themeColor="accent1"/>
      <w:spacing w:val="15"/>
      <w:sz w:val="24"/>
      <w:szCs w:val="24"/>
      <w:rt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bidi/>
      <w:jc w:val="start"/>
    </w:pPr>
    <w:rPr>
      <w:rFonts w:ascii="IBM Plex Sans Arabic" w:hAnsi="IBM Plex Sans Arabic" w:cs="IBM Plex Sans Arabic"/>
      <w:rtl/>
    </w:rPr>
  </w:style>
  <w:style w:type="paragraph" w:styleId="BodyText">
    <w:name w:val="Body Text"/>
    <w:basedOn w:val="Normal"/>
    <w:link w:val="BodyTextChar"/>
    <w:uiPriority w:val="99"/>
    <w:unhideWhenUsed/>
    <w:rsid w:val="00AA1D8D"/>
    <w:pPr>
      <w:spacing w:after="120"/>
      <w:bidi/>
      <w:jc w:val="start"/>
    </w:pPr>
    <w:rPr>
      <w:rFonts w:ascii="IBM Plex Sans Arabic" w:hAnsi="IBM Plex Sans Arabic" w:cs="IBM Plex Sans Arabic"/>
      <w:rt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bidi/>
      <w:jc w:val="start"/>
    </w:pPr>
    <w:rPr>
      <w:rFonts w:ascii="IBM Plex Sans Arabic" w:hAnsi="IBM Plex Sans Arabic" w:cs="IBM Plex Sans Arabic"/>
      <w:rtl/>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bidi/>
      <w:jc w:val="start"/>
    </w:pPr>
    <w:rPr>
      <w:rFonts w:ascii="IBM Plex Sans Arabic" w:hAnsi="IBM Plex Sans Arabic" w:cs="IBM Plex Sans Arabic"/>
      <w:sz w:val="16"/>
      <w:szCs w:val="16"/>
      <w:rtl/>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bidi/>
      <w:jc w:val="start"/>
    </w:pPr>
    <w:rPr>
      <w:rFonts w:ascii="IBM Plex Sans Arabic" w:hAnsi="IBM Plex Sans Arabic" w:cs="IBM Plex Sans Arabic"/>
      <w:rtl/>
    </w:rPr>
  </w:style>
  <w:style w:type="paragraph" w:styleId="List2">
    <w:name w:val="List 2"/>
    <w:basedOn w:val="Normal"/>
    <w:uiPriority w:val="99"/>
    <w:unhideWhenUsed/>
    <w:rsid w:val="00326F90"/>
    <w:pPr>
      <w:ind w:left="720" w:hanging="360"/>
      <w:contextualSpacing/>
      <w:bidi/>
      <w:jc w:val="start"/>
    </w:pPr>
    <w:rPr>
      <w:rFonts w:ascii="IBM Plex Sans Arabic" w:hAnsi="IBM Plex Sans Arabic" w:cs="IBM Plex Sans Arabic"/>
      <w:rtl/>
    </w:rPr>
  </w:style>
  <w:style w:type="paragraph" w:styleId="List3">
    <w:name w:val="List 3"/>
    <w:basedOn w:val="Normal"/>
    <w:uiPriority w:val="99"/>
    <w:unhideWhenUsed/>
    <w:rsid w:val="00326F90"/>
    <w:pPr>
      <w:ind w:left="1080" w:hanging="360"/>
      <w:contextualSpacing/>
      <w:bidi/>
      <w:jc w:val="start"/>
    </w:pPr>
    <w:rPr>
      <w:rFonts w:ascii="IBM Plex Sans Arabic" w:hAnsi="IBM Plex Sans Arabic" w:cs="IBM Plex Sans Arabic"/>
      <w:rtl/>
    </w:rPr>
  </w:style>
  <w:style w:type="paragraph" w:styleId="ListBullet">
    <w:name w:val="List Bullet"/>
    <w:basedOn w:val="Normal"/>
    <w:uiPriority w:val="99"/>
    <w:unhideWhenUsed/>
    <w:rsid w:val="00326F90"/>
    <w:pPr>
      <w:numPr>
        <w:numId w:val="1"/>
      </w:numPr>
      <w:contextualSpacing/>
      <w:bidi/>
      <w:jc w:val="start"/>
    </w:pPr>
    <w:rPr>
      <w:rFonts w:ascii="IBM Plex Sans Arabic" w:hAnsi="IBM Plex Sans Arabic" w:cs="IBM Plex Sans Arabic"/>
      <w:rtl/>
    </w:rPr>
  </w:style>
  <w:style w:type="paragraph" w:styleId="ListBullet2">
    <w:name w:val="List Bullet 2"/>
    <w:basedOn w:val="Normal"/>
    <w:uiPriority w:val="99"/>
    <w:unhideWhenUsed/>
    <w:rsid w:val="00326F90"/>
    <w:pPr>
      <w:numPr>
        <w:numId w:val="2"/>
      </w:numPr>
      <w:contextualSpacing/>
      <w:bidi/>
      <w:jc w:val="start"/>
    </w:pPr>
    <w:rPr>
      <w:rFonts w:ascii="IBM Plex Sans Arabic" w:hAnsi="IBM Plex Sans Arabic" w:cs="IBM Plex Sans Arabic"/>
      <w:rtl/>
    </w:rPr>
  </w:style>
  <w:style w:type="paragraph" w:styleId="ListBullet3">
    <w:name w:val="List Bullet 3"/>
    <w:basedOn w:val="Normal"/>
    <w:uiPriority w:val="99"/>
    <w:unhideWhenUsed/>
    <w:rsid w:val="00326F90"/>
    <w:pPr>
      <w:numPr>
        <w:numId w:val="3"/>
      </w:numPr>
      <w:contextualSpacing/>
      <w:bidi/>
      <w:jc w:val="start"/>
    </w:pPr>
    <w:rPr>
      <w:rFonts w:ascii="IBM Plex Sans Arabic" w:hAnsi="IBM Plex Sans Arabic" w:cs="IBM Plex Sans Arabic"/>
      <w:rtl/>
    </w:rPr>
  </w:style>
  <w:style w:type="paragraph" w:styleId="ListNumber">
    <w:name w:val="List Number"/>
    <w:basedOn w:val="Normal"/>
    <w:uiPriority w:val="99"/>
    <w:unhideWhenUsed/>
    <w:rsid w:val="00326F90"/>
    <w:pPr>
      <w:numPr>
        <w:numId w:val="5"/>
      </w:numPr>
      <w:contextualSpacing/>
      <w:bidi/>
      <w:jc w:val="start"/>
    </w:pPr>
    <w:rPr>
      <w:rFonts w:ascii="IBM Plex Sans Arabic" w:hAnsi="IBM Plex Sans Arabic" w:cs="IBM Plex Sans Arabic"/>
      <w:rtl/>
    </w:rPr>
  </w:style>
  <w:style w:type="paragraph" w:styleId="ListNumber2">
    <w:name w:val="List Number 2"/>
    <w:basedOn w:val="Normal"/>
    <w:uiPriority w:val="99"/>
    <w:unhideWhenUsed/>
    <w:rsid w:val="0029639D"/>
    <w:pPr>
      <w:numPr>
        <w:numId w:val="6"/>
      </w:numPr>
      <w:contextualSpacing/>
      <w:bidi/>
      <w:jc w:val="start"/>
    </w:pPr>
    <w:rPr>
      <w:rFonts w:ascii="IBM Plex Sans Arabic" w:hAnsi="IBM Plex Sans Arabic" w:cs="IBM Plex Sans Arabic"/>
      <w:rtl/>
    </w:rPr>
  </w:style>
  <w:style w:type="paragraph" w:styleId="ListNumber3">
    <w:name w:val="List Number 3"/>
    <w:basedOn w:val="Normal"/>
    <w:uiPriority w:val="99"/>
    <w:unhideWhenUsed/>
    <w:rsid w:val="0029639D"/>
    <w:pPr>
      <w:numPr>
        <w:numId w:val="7"/>
      </w:numPr>
      <w:contextualSpacing/>
      <w:bidi/>
      <w:jc w:val="start"/>
    </w:pPr>
    <w:rPr>
      <w:rFonts w:ascii="IBM Plex Sans Arabic" w:hAnsi="IBM Plex Sans Arabic" w:cs="IBM Plex Sans Arabic"/>
      <w:rtl/>
    </w:rPr>
  </w:style>
  <w:style w:type="paragraph" w:styleId="ListContinue">
    <w:name w:val="List Continue"/>
    <w:basedOn w:val="Normal"/>
    <w:uiPriority w:val="99"/>
    <w:unhideWhenUsed/>
    <w:rsid w:val="0029639D"/>
    <w:pPr>
      <w:spacing w:after="120"/>
      <w:ind w:left="360"/>
      <w:contextualSpacing/>
      <w:bidi/>
      <w:jc w:val="start"/>
    </w:pPr>
    <w:rPr>
      <w:rFonts w:ascii="IBM Plex Sans Arabic" w:hAnsi="IBM Plex Sans Arabic" w:cs="IBM Plex Sans Arabic"/>
      <w:rtl/>
    </w:rPr>
  </w:style>
  <w:style w:type="paragraph" w:styleId="ListContinue2">
    <w:name w:val="List Continue 2"/>
    <w:basedOn w:val="Normal"/>
    <w:uiPriority w:val="99"/>
    <w:unhideWhenUsed/>
    <w:rsid w:val="0029639D"/>
    <w:pPr>
      <w:spacing w:after="120"/>
      <w:ind w:left="720"/>
      <w:contextualSpacing/>
      <w:bidi/>
      <w:jc w:val="start"/>
    </w:pPr>
    <w:rPr>
      <w:rFonts w:ascii="IBM Plex Sans Arabic" w:hAnsi="IBM Plex Sans Arabic" w:cs="IBM Plex Sans Arabic"/>
      <w:rtl/>
    </w:rPr>
  </w:style>
  <w:style w:type="paragraph" w:styleId="ListContinue3">
    <w:name w:val="List Continue 3"/>
    <w:basedOn w:val="Normal"/>
    <w:uiPriority w:val="99"/>
    <w:unhideWhenUsed/>
    <w:rsid w:val="0029639D"/>
    <w:pPr>
      <w:spacing w:after="120"/>
      <w:ind w:left="1080"/>
      <w:contextualSpacing/>
      <w:bidi/>
      <w:jc w:val="start"/>
    </w:pPr>
    <w:rPr>
      <w:rFonts w:ascii="IBM Plex Sans Arabic" w:hAnsi="IBM Plex Sans Arabic" w:cs="IBM Plex Sans Arabic"/>
      <w:rt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bidi/>
      <w:jc w:val="start"/>
    </w:pPr>
    <w:rPr>
      <w:rFonts w:ascii="IBM Plex Sans Arabic" w:hAnsi="IBM Plex Sans Arabic" w:cs="IBM Plex Sans Arabic"/>
      <w:sz w:val="20"/>
      <w:szCs w:val="20"/>
      <w:rtl/>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bidi/>
      <w:jc w:val="start"/>
    </w:pPr>
    <w:rPr>
      <w:rFonts w:ascii="IBM Plex Sans Arabic" w:hAnsi="IBM Plex Sans Arabic" w:cs="IBM Plex Sans Arabic"/>
      <w:i/>
      <w:iCs/>
      <w:color w:val="000000" w:themeColor="text1"/>
      <w:rtl/>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idi/>
      <w:jc w:val="start"/>
    </w:pPr>
    <w:rPr>
      <w:rFonts w:ascii="IBM Plex Sans Arabic" w:hAnsi="IBM Plex Sans Arabic" w:cs="IBM Plex Sans Arabic"/>
      <w:b/>
      <w:bCs/>
      <w:color w:val="4F81BD" w:themeColor="accent1"/>
      <w:sz w:val="18"/>
      <w:szCs w:val="18"/>
      <w:rtl/>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bidi/>
      <w:jc w:val="start"/>
    </w:pPr>
    <w:rPr>
      <w:rFonts w:ascii="IBM Plex Sans Arabic" w:hAnsi="IBM Plex Sans Arabic" w:cs="IBM Plex Sans Arabic"/>
      <w:b/>
      <w:bCs/>
      <w:i/>
      <w:iCs/>
      <w:color w:val="4F81BD" w:themeColor="accent1"/>
      <w:rtl/>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bidi/>
      <w:jc w:val="start"/>
    </w:pPr>
    <w:rPr>
      <w:rFonts w:ascii="IBM Plex Sans Arabic" w:hAnsi="IBM Plex Sans Arabic" w:cs="IBM Plex Sans Arabic"/>
      <w:rt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