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 (SILK_HERMETIC)،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2026-07-10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التحليل الإقليمي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تعميقاً مدفوعاً عبر /deepen)،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tam_usd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2026-07-10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import_growth_pct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2026-07-10 | ثقة: عالية (90%)</w:t>
            </w:r>
          </w:p>
        </w:tc>
      </w:tr>
      <w:tr>
        <w:tc>
          <w:tcPr>
            <w:tcW w:type="dxa" w:w="2160"/>
          </w:tcPr>
          <w:p>
            <w:r>
              <w:t>import_cagr_pct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2026-07-10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التحليل الإقليمي (الأسواق المرشّحة)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hhi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2026-07-10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top_supplier_share_pct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2026-07-10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Iran</w:t>
            </w:r>
          </w:p>
        </w:tc>
      </w:tr>
      <w:tr>
        <w:tc>
          <w:tcPr>
            <w:tcW w:type="dxa" w:w="2160"/>
          </w:tcPr>
          <w:p>
            <w:r>
              <w:t>saudi_share_pct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2026-07-10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saudi_share_pct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margin_at_border_pct: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import_cagr_pct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border_unit_value_usd_kg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2026-07-10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saudi_border_unit_value_usd_kg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2026-07-10 | ثقة: عالية (85%)</w:t>
            </w:r>
          </w:p>
        </w:tc>
      </w:tr>
      <w:tr>
        <w:tc>
          <w:tcPr>
            <w:tcW w:type="dxa" w:w="2160"/>
          </w:tcPr>
          <w:p>
            <w:r>
              <w:t>margin_at_border_pct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«border_unit_value_usd_kg»: قيمة الوحدة = قيمة الواردات ÷ الوزن الصافي (كلاهما مرصود من كومتريد)</w:t>
      </w:r>
    </w:p>
    <w:p>
      <w:pPr>
        <w:pStyle w:val="IntenseQuote"/>
      </w:pPr>
      <w:r>
        <w:t>معادلة «saudi_border_unit_value_usd_kg»: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retail_prices: LocalPriceAgent: paid agent outside /deepen — skipped (structural guard, no call attempted)؛ ولا نتائج Google Shopping مرصودة (requires SEARCH_API_KEY (or SERPER_API_KEY))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2026-07-10 | ثقة: عالية (80%)</w:t>
      </w:r>
    </w:p>
    <w:p>
      <w:pPr>
        <w:pStyle w:val="ListBullet"/>
      </w:pPr>
      <w:r>
        <w:t>غير متوفر: التعريفة الجمركية المطبّقة: WITS غير متاح الآن (ProxyError) لـHS080410 SAU←CHN 2023 — أعد المحاولة لاحقاً.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قرار الدخول (المحرك الموزون §8)</w:t>
      </w:r>
    </w:p>
    <w:p>
      <w:r>
        <w:t>الحكم: CONDITIONAL-GO | النقاط: 0.636 | الثقة: منخفضة (31%)</w:t>
      </w:r>
    </w:p>
    <w:p>
      <w:r>
        <w:t>أساس الثقة: التغطية 0.39 × الأعمدة المحسوبة 4/5</w:t>
      </w:r>
    </w:p>
    <w:p>
      <w:r>
        <w:t>خيار الأوزان المعتمد: A — النقاط بالخيارين: A = 0.636 | B = 0.584</w:t>
      </w:r>
    </w:p>
    <w:p>
      <w:r>
        <w:t>ملاحظة الأوزان: خيار الأوزان قيد بوابة GATE 3 — كلا المجموعين محسوبان؛ الافتراضي A حتى قرار المالك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(0.37)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score 0.636 في النطاق الشرطي والثقة 0.31 دون 0.6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(ثقة 0.4) — أكّدهم قبل التعاقد؛ الترقية الموثّقة عبر /deepen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4 من 4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PV.EST fetch failed for CHN: HTTPSConnectionPool(host='api.worldbank.org', port=443): Max retries exceeded with ur</w:t>
      </w:r>
    </w:p>
    <w:p>
      <w:pPr>
        <w:pStyle w:val="IntenseQuote"/>
      </w:pPr>
      <w:r>
        <w:t xml:space="preserve">    فشل مُسجَّل: جودة التنظيم (WGI) — RQ.EST fetch failed for CHN: HTTPSConnectionPool(host='api.worldbank.org', port=443): Max retries exceeded with url: /v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