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Arial" w:hAnsi="Arial" w:cs="Arial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Arial" w:hAnsi="Arial" w:cs="Arial"/>
          <w:rtl/>
        </w:rPr>
        <w:t>سلك — تقرير بحث سوق: تمور</w:t>
      </w:r>
    </w:p>
    <w:p>
      <w:pPr>
        <w:bidi/>
        <w:jc w:val="start"/>
      </w:pPr>
      <w:r>
        <w:rPr>
          <w:rFonts w:ascii="Arial" w:hAnsi="Arial" w:cs="Arial"/>
          <w:rtl/>
        </w:rPr>
        <w:t>⚠ TEST RUN — تشغيل برهاني ببدائل موسومة، ليس تقريراً إنتاجياً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المنتج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تمور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رمز HS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080410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المنشأ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السوق المستهدف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China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تاريخ الإعداد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2026-07-18</w:t>
            </w:r>
          </w:p>
        </w:tc>
      </w:tr>
      <w:tr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سنة البيانات</w:t>
            </w:r>
          </w:p>
        </w:tc>
        <w:tc>
          <w:tcPr>
            <w:tcW w:type="dxa" w:w="468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2023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البيانات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42.1%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المحتويات</w:t>
      </w:r>
    </w:p>
    <w:p>
      <w:pPr>
        <w:bidi/>
        <w:jc w:val="start"/>
      </w:pPr>
      <w:r>
        <w:rPr>
          <w:rFonts w:ascii="Arial" w:hAnsi="Arial" w:cs="Arial"/>
          <w:rtl/>
        </w:rPr>
        <w:t>1.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2. منهجية البحث</w:t>
      </w:r>
    </w:p>
    <w:p>
      <w:pPr>
        <w:bidi/>
        <w:jc w:val="start"/>
      </w:pPr>
      <w:r>
        <w:rPr>
          <w:rFonts w:ascii="Arial" w:hAnsi="Arial" w:cs="Arial"/>
          <w:rtl/>
        </w:rPr>
        <w:t>3. تعريف السوق ونطاقه</w:t>
      </w:r>
    </w:p>
    <w:p>
      <w:pPr>
        <w:bidi/>
        <w:jc w:val="start"/>
      </w:pPr>
      <w:r>
        <w:rPr>
          <w:rFonts w:ascii="Arial" w:hAnsi="Arial" w:cs="Arial"/>
          <w:rtl/>
        </w:rPr>
        <w:t>4. نظرة عامة على السوق</w:t>
      </w:r>
    </w:p>
    <w:p>
      <w:pPr>
        <w:bidi/>
        <w:jc w:val="start"/>
      </w:pPr>
      <w:r>
        <w:rPr>
          <w:rFonts w:ascii="Arial" w:hAnsi="Arial" w:cs="Arial"/>
          <w:rtl/>
        </w:rPr>
        <w:t>5.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6. حجم السوق والتوقعات</w:t>
      </w:r>
    </w:p>
    <w:p>
      <w:pPr>
        <w:bidi/>
        <w:jc w:val="start"/>
      </w:pPr>
      <w:r>
        <w:rPr>
          <w:rFonts w:ascii="Arial" w:hAnsi="Arial" w:cs="Arial"/>
          <w:rtl/>
        </w:rPr>
        <w:t>7. تحليل التقسيم</w:t>
      </w:r>
    </w:p>
    <w:p>
      <w:pPr>
        <w:bidi/>
        <w:jc w:val="start"/>
      </w:pPr>
      <w:r>
        <w:rPr>
          <w:rFonts w:ascii="Arial" w:hAnsi="Arial" w:cs="Arial"/>
          <w:rtl/>
        </w:rPr>
        <w:t>8. تحليل التجارة (استيراد/تصدير)</w:t>
      </w:r>
    </w:p>
    <w:p>
      <w:pPr>
        <w:bidi/>
        <w:jc w:val="start"/>
      </w:pPr>
      <w:r>
        <w:rPr>
          <w:rFonts w:ascii="Arial" w:hAnsi="Arial" w:cs="Arial"/>
          <w:rtl/>
        </w:rPr>
        <w:t>9. الأسواق المرشّحة الأخرى</w:t>
      </w:r>
    </w:p>
    <w:p>
      <w:pPr>
        <w:bidi/>
        <w:jc w:val="start"/>
      </w:pPr>
      <w:r>
        <w:rPr>
          <w:rFonts w:ascii="Arial" w:hAnsi="Arial" w:cs="Arial"/>
          <w:rtl/>
        </w:rPr>
        <w:t>10. المشهد التنافسي</w:t>
      </w:r>
    </w:p>
    <w:p>
      <w:pPr>
        <w:bidi/>
        <w:jc w:val="start"/>
      </w:pPr>
      <w:r>
        <w:rPr>
          <w:rFonts w:ascii="Arial" w:hAnsi="Arial" w:cs="Arial"/>
          <w:rtl/>
        </w:rPr>
        <w:t>11. استخبارات العميل والطلب</w:t>
      </w:r>
    </w:p>
    <w:p>
      <w:pPr>
        <w:bidi/>
        <w:jc w:val="start"/>
      </w:pPr>
      <w:r>
        <w:rPr>
          <w:rFonts w:ascii="Arial" w:hAnsi="Arial" w:cs="Arial"/>
          <w:rtl/>
        </w:rPr>
        <w:t>12. المشهد التنظيمي والمخاطر</w:t>
      </w:r>
    </w:p>
    <w:p>
      <w:pPr>
        <w:bidi/>
        <w:jc w:val="start"/>
      </w:pPr>
      <w:r>
        <w:rPr>
          <w:rFonts w:ascii="Arial" w:hAnsi="Arial" w:cs="Arial"/>
          <w:rtl/>
        </w:rPr>
        <w:t>13. الاتجاهات والتوقع المستقبلي</w:t>
      </w:r>
    </w:p>
    <w:p>
      <w:pPr>
        <w:bidi/>
        <w:jc w:val="start"/>
      </w:pPr>
      <w:r>
        <w:rPr>
          <w:rFonts w:ascii="Arial" w:hAnsi="Arial" w:cs="Arial"/>
          <w:rtl/>
        </w:rPr>
        <w:t>14. التوصيات الاستراتيجية</w:t>
      </w:r>
    </w:p>
    <w:p>
      <w:pPr>
        <w:bidi/>
        <w:jc w:val="start"/>
      </w:pPr>
      <w:r>
        <w:rPr>
          <w:rFonts w:ascii="Arial" w:hAnsi="Arial" w:cs="Arial"/>
          <w:rtl/>
        </w:rPr>
        <w:t>حدود التحليل (الفجوات المعلنة)</w:t>
      </w:r>
    </w:p>
    <w:p>
      <w:pPr>
        <w:bidi/>
        <w:jc w:val="start"/>
      </w:pPr>
      <w:r>
        <w:rPr>
          <w:rFonts w:ascii="Arial" w:hAnsi="Arial" w:cs="Arial"/>
          <w:rtl/>
        </w:rPr>
        <w:t>دليل المورّدين (الاتصال بالموردين والمستوردين)</w:t>
      </w:r>
    </w:p>
    <w:p>
      <w:pPr>
        <w:bidi/>
        <w:jc w:val="start"/>
      </w:pPr>
      <w:r>
        <w:rPr>
          <w:rFonts w:ascii="Arial" w:hAnsi="Arial" w:cs="Arial"/>
          <w:rtl/>
        </w:rPr>
        <w:t>الملحق (تغطية المصادر وأثرها)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١. الخلاصة التنفيذية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 لسوق الصين، بدرجة ثقة منخفضة (31%). الفرصة قائمة، لكن اكتمال الصورة يتطلب استيفاء الشروط الواردة أدناه قبل قرار نهائي.</w:t>
      </w:r>
    </w:p>
    <w:p>
      <w:pPr>
        <w:bidi/>
        <w:jc w:val="start"/>
      </w:pPr>
      <w:r>
        <w:rPr>
          <w:rFonts w:ascii="Arial" w:hAnsi="Arial" w:cs="Arial"/>
          <w:rtl/>
        </w:rPr>
        <w:t>الأساس التجاري: يستورد السوق ما قيمته 60.0 مليون دولار سنوياً من هذا المنتج (المصدر: UN Comtrade)؛ والمنتجات السعودية حاضرة فعلاً بحصة 30% من واردات السوق (المصدر: UN Comtrade)؛ وسوق عالي التركّز — مورّد أو اثنان يهيمنان.</w:t>
      </w:r>
    </w:p>
    <w:p>
      <w:pPr>
        <w:bidi/>
        <w:jc w:val="start"/>
      </w:pPr>
      <w:r>
        <w:rPr>
          <w:rFonts w:ascii="Arial" w:hAnsi="Arial" w:cs="Arial"/>
          <w:rtl/>
        </w:rPr>
        <w:t>لاكتمال الثقة في هذه التوصية يلزم: الصين: دخل الفرد غير متوفر؛ الإمارات: دخل الفرد غير متوفر.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٢. منهجية البحث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سنة البيانات المعتمدة: 2023.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تغطية البيانات الإجمالية لهذا التحليل: 42.1%.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المصادر التي أسهمت فعلياً في هذا التشغيل: Pew Research Center (لقطة ساكنة مقرّبة)، Silk L1 requirements reference (official portals / EUR-Lex)، UN Comtrade، UN Comtrade (مخزن الحقائق).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كل رقم في هذا التقرير يُعرض مع مصدره وتاريخ سحبه؛ القيمة غير المتاحة تُعرض «—».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بوابة كفاية البيانات: 2/3 وكلاء أساسيون لديهم بيانات؛ فجوات: المؤشرات الاقتصادية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هذه قراءة أولية مبنية على البيانات العامة المتاحة وقت الإعداد.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٣. تعريف السوق ونطاقه</w:t>
      </w:r>
    </w:p>
    <w:p>
      <w:pPr>
        <w:bidi/>
        <w:jc w:val="start"/>
      </w:pPr>
      <w:r>
        <w:rPr>
          <w:rFonts w:ascii="Arial" w:hAnsi="Arial" w:cs="Arial"/>
          <w:rtl/>
        </w:rPr>
        <w:t>يشمل هذا التقرير: صادرات تمور (رمز HS 080410) من المملكة العربية السعودية، مُقيَّمة عبر 2 أسواق مرشّحة، ومفصَّلة بعمق للسوق الأعلى ترتيباً (China). يستثني هذا التقرير: التسعير التفصيلي بالتجزئة والملفات المالية للمنافسين (تتطلبان خدمة التعميق المدفوعة)، وتحليل الشرائح السلوكية للعملاء واستخبارات الطلب المباشرة (تتطلبان بحثاً أولياً — مقابلات أو استبيانات — لم يُجرَ بعد).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قرار الدخول</w:t>
      </w:r>
    </w:p>
    <w:p>
      <w:pPr>
        <w:bidi/>
        <w:jc w:val="start"/>
      </w:pPr>
      <w:r>
        <w:rPr>
          <w:rFonts w:ascii="Arial" w:hAnsi="Arial" w:cs="Arial"/>
          <w:rtl/>
        </w:rPr>
        <w:t>الحكم: دخول مشروط | النقاط: 0.636 | الثقة: منخفضة (31%)</w:t>
      </w:r>
    </w:p>
    <w:p>
      <w:pPr>
        <w:bidi/>
        <w:jc w:val="start"/>
      </w:pPr>
      <w:r>
        <w:rPr>
          <w:rFonts w:ascii="Arial" w:hAnsi="Arial" w:cs="Arial"/>
          <w:rtl/>
        </w:rPr>
        <w:t>أساس الثقة: التغطية 39% × الأعمدة المحسوبة 4/5</w:t>
      </w:r>
    </w:p>
    <w:p>
      <w:pPr>
        <w:bidi/>
        <w:jc w:val="start"/>
      </w:pPr>
      <w:r>
        <w:rPr>
          <w:rFonts w:ascii="Arial" w:hAnsi="Arial" w:cs="Arial"/>
          <w:rtl/>
        </w:rPr>
        <w:t>منهجية الترجيح المعتمدة: الأوزان القياسية — النقاط 0.636 (بديل مقارنة، الأوزان التنظيمية المُثقّلة: 0.584)</w:t>
      </w:r>
    </w:p>
    <w:p>
      <w:pPr>
        <w:bidi/>
        <w:jc w:val="start"/>
      </w:pPr>
      <w:r>
        <w:rPr>
          <w:rFonts w:ascii="Arial" w:hAnsi="Arial" w:cs="Arial"/>
          <w:rtl/>
        </w:rPr>
        <w:t>ملاحظة الأوزان: تُحسب الدرجة بمجموعتي أوزان معاً للمقارنة؛ المعتمد لهذا القرار: الأوزان القياسية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العمود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الأساس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مكوّنات غائبة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جاذبية السوق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0.892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log10(TAM)/9 (سقف 10^9$)، (CAGR+10)/40 (−10%→0، +30%→1)، دخل الفرد/50k$، الحصة السعودية/20%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income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المنافسة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0.63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HHI/0.5، حصة الأكبر/100، عدد المرشّحين بالاسم/10 — الدرجة المستهلكة في المجموع هي (1 − الشدة)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named_density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التنظيم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0.375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(1 − تعريفة/30%)، وضوح القائمة (بنود/8)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tariff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الربحية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0.75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الهامش/40%، الموقع السعري (1.5 − سعرك/متوسط السوق)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margin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أمان السوق (المخاطر)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المتاح من: (استقرار سياسي WGI+2.5)/5، (جودة تنظيم WGI+2.5)/5، (LPI−1)/4، (1 − تقلّب الصرف/20%) — أعلى=أأمن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political_stability، regulatory_quality، logistics، fx_stability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أعمدة غائبة كلياً: أمان السوق (المخاطر)</w:t>
      </w:r>
    </w:p>
    <w:p>
      <w:pPr>
        <w:bidi/>
        <w:jc w:val="start"/>
      </w:pPr>
      <w:r>
        <w:rPr>
          <w:rFonts w:ascii="Arial" w:hAnsi="Arial" w:cs="Arial"/>
          <w:rtl/>
        </w:rPr>
        <w:t>الشروط: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أمان السوق (المخاطر) غائب (political_stability, regulatory_quality, logistics, fx_stability) — أكمل مصادره قبل قرار نهائي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شدة المنافسة ضعيف (37%) — متوسط المتاح من: HHI/0.5، حصة الأكبر/100، عدد المرشّحين بالاسم/10 — الدرجة المستهلكة في المجموع هي (1 − الشدة)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عمود الملاءمة التنظيمية ضعيف (38%) — متوسط المتاح من: (1 − تعريفة/30%)، وضوح القائمة (بنود/8)</w:t>
      </w:r>
    </w:p>
    <w:p>
      <w:pPr>
        <w:bidi/>
        <w:jc w:val="start"/>
      </w:pPr>
      <w:r>
        <w:rPr>
          <w:rFonts w:ascii="Arial" w:hAnsi="Arial" w:cs="Arial"/>
          <w:rtl/>
        </w:rPr>
        <w:t>سجل المخاطر: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تركّز مصادر التوريد (الشدة: متوسطة) — الدليل: HHI=0.38 &gt; 0.25 (كومتريد)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تغطية بيانات منخفضة (الشدة: متوسطة) — الدليل: تغطية الوكلاء 39% &lt; 60% — القرار مشروط باكتمالها</w:t>
      </w:r>
    </w:p>
    <w:p>
      <w:pPr>
        <w:bidi/>
        <w:jc w:val="start"/>
      </w:pPr>
      <w:r>
        <w:rPr>
          <w:rFonts w:ascii="Arial" w:hAnsi="Arial" w:cs="Arial"/>
          <w:rtl/>
        </w:rPr>
        <w:t>الخطوات الأولى: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أغلق بنود قائمة الاشتراطات بنداً بنداً بمرجعها الرسمي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مركّز: ادخل عبر موزّع قائم من مرشّحي التوريد المرصودين بدل البناء المباشر</w:t>
      </w:r>
    </w:p>
    <w:p>
      <w:pPr>
        <w:bidi/>
        <w:jc w:val="start"/>
      </w:pPr>
      <w:r>
        <w:rPr>
          <w:rFonts w:ascii="Arial" w:hAnsi="Arial" w:cs="Arial"/>
          <w:rtl/>
        </w:rPr>
        <w:t>لماذا: الدرجة الموزونة 0.636 في النطاق الشرطي والثقة منخفضة (31%) دون الحد الأدنى (60%) وشروط مفتوحة (3)</w:t>
      </w:r>
    </w:p>
    <w:p>
      <w:pPr>
        <w:bidi/>
        <w:jc w:val="start"/>
      </w:pPr>
      <w:r>
        <w:rPr>
          <w:rFonts w:ascii="Arial" w:hAnsi="Arial" w:cs="Arial"/>
          <w:rtl/>
        </w:rPr>
        <w:t>قرار حتمي قابل للتفسير من حزمة §4b المتحقَّق منها — الأعمدة الغائبة شروط معلنة، لا تخمين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٤. نظرة عامة على السوق</w:t>
      </w:r>
    </w:p>
    <w:p>
      <w:pPr>
        <w:bidi/>
        <w:jc w:val="start"/>
      </w:pPr>
      <w:r>
        <w:rPr>
          <w:rFonts w:ascii="Arial" w:hAnsi="Arial" w:cs="Arial"/>
          <w:rtl/>
        </w:rPr>
        <w:t>لم تُجمع إشارات نوعية عن حالة الصناعة في هذا التشغيل — يتطلب مفتاح بحث الويب.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٥. ديناميكيات السوق</w:t>
      </w:r>
    </w:p>
    <w:p>
      <w:pPr>
        <w:bidi/>
        <w:jc w:val="start"/>
      </w:pPr>
      <w:r>
        <w:rPr>
          <w:rFonts w:ascii="Arial" w:hAnsi="Arial" w:cs="Arial"/>
          <w:rtl/>
        </w:rPr>
        <w:t>تحليل الدوافع والكوابح والفرص والتحديات يتطلب مفتاح بحث الويب — لم يُشغَّل في هذا التحليل.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٦. حجم السوق والتوقعات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حجم السوق — TAM/SAM/SOM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إجمالي واردات السوق (TAM)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60,000,000 USD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2026-07-18 | ثقة: عالية (90%)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نمو الواردات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50.0 %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2026-07-18 | ثقة: عالية (90%)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معدل النمو السنوي المركّب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22.5 %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رصد مباشر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2026-07-18 | ثقة: عالية (90%)</w:t>
            </w:r>
          </w:p>
        </w:tc>
      </w:tr>
    </w:tbl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السوق القابل للخدمة (SAM): يتطلب TAM مرصوداً + شريحة tier في بطاقة المنتج (premium/mid/mass)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الحصة القابلة للتحصيل (SOM): يتطلب طاقة شهرية في بطاقة المنتج + قيمة وحدة حدودية مرصودة (قيمة/وزن كومتريد)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٧. تحليل التقسيم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شرائح العملاء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شريحة الحلال/رمضان: 2.0% من السكان — الأساس: مرجع Pew الساكن — muslim_share_pct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٨. تحليل التجارة (استيراد/تصدير)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الحصة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Iran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50%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30.0 مليون دولار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Saudi Arabia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30%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18.0 مليون دولار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Tunisia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20%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12.0 مليون دولار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المصدر: UN Comtrade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٩. الأسواق المرشّحة الأخرى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٩.1 China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يستورد السوق ما قيمته 60.0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المنتجات السعودية حاضرة فعلاً بحصة 30% من واردات السوق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الثقة الإجمالية لهذا التقييم: عالية (75%)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٩.2 United Arab Emirates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يستورد السوق ما قيمته 20.0 مليون دولار سنوياً من هذا المنتج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المنتجات السعودية حاضرة فعلاً بحصة 100% من واردات السوق (المصدر: UN Comtrade)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سوق عالي التركّز — مورّد أو اثنان يهيمنان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الثقة الإجمالية لهذا التقييم: عالية (75%)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١٠. المشهد التنافسي</w:t>
      </w:r>
    </w:p>
    <w:p>
      <w:pPr>
        <w:pStyle w:val="Heading3"/>
        <w:bidi/>
        <w:jc w:val="start"/>
      </w:pPr>
      <w:r>
        <w:rPr>
          <w:rFonts w:ascii="Arial" w:hAnsi="Arial" w:cs="Arial"/>
          <w:rtl/>
        </w:rPr>
        <w:t>شركات بالاسم (مرشّحون غير موثَّقين)</w:t>
      </w:r>
    </w:p>
    <w:p>
      <w:pPr>
        <w:bidi/>
        <w:jc w:val="start"/>
      </w:pPr>
      <w:r>
        <w:rPr>
          <w:rFonts w:ascii="Arial" w:hAnsi="Arial" w:cs="Arial"/>
          <w:rtl/>
        </w:rPr>
        <w:t>لا شركات مرصودة بالاسم في هذا التشغيل (أسماء الأعمال تأتي من Google Places حصراً)</w:t>
      </w:r>
    </w:p>
    <w:p>
      <w:pPr>
        <w:bidi/>
        <w:jc w:val="start"/>
      </w:pPr>
      <w:r>
        <w:rPr>
          <w:rFonts w:ascii="Arial" w:hAnsi="Arial" w:cs="Arial"/>
          <w:rtl/>
        </w:rPr>
        <w:t>الطبقة الدولية (تركّز الموردين — UN Comtrade):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ملاحظة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تركّز الموردين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0.38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2026-07-18 | ثقة: عالية (90%)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مؤشر هيرفنداهل لتركّز المورّدين (3 دولة) — &gt;0.25 سوق مركّز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المورّد الأكبر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50.0 %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2026-07-18 | ثقة: عالية (90%)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حصة المورّد الأكبر: إيران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الحصة السعودية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30.0 %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| سُحب: 2026-07-18 | ثقة: عالية (90%)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غير مثلَّث — تقرير سعودي مباشر (مرآة) غير متاح: لا تقرير سعودي مباشر (reporter=SAU) لـ HS080410→CHN 2023 — مرآة غير متاحة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تحليل SWOT (قاعدي من حقائق مرصودة)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القوة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حضور سعودي قائم بحصة 30.0% من واردات السوق — الدليل: UN Comtrade — الحصة السعودية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سعر حدودي سعودي منافس (2.25$ مقابل متوسط 3.0$/kg) — الدليل: UN Comtrade — قيم الوحدة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الضعف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الهامش غير محسوب — بطاقة المنتج غير مكتملة — الدليل: الهامش عند الحدود: يتطلب بطاقة منتج بوحدة kg (cost_per_unit) + قيمة وحدة حدودية مرصودة</w:t>
            </w:r>
          </w:p>
        </w:tc>
      </w:tr>
      <w:tr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الفرص</w:t>
            </w:r>
          </w:p>
          <w:p>
            <w:pPr>
              <w:pStyle w:val="ListBullet"/>
              <w:bidi/>
              <w:jc w:val="start"/>
            </w:pPr>
            <w:r>
              <w:rPr>
                <w:rFonts w:ascii="Arial" w:hAnsi="Arial" w:cs="Arial"/>
                <w:rtl/>
              </w:rPr>
              <w:t>واردات السوق تنمو 22.5% سنوياً مركّباً — الدليل: UN Comtrade — معدل النمو السنوي المركّب</w:t>
            </w:r>
          </w:p>
        </w:tc>
        <w:tc>
          <w:tcPr>
            <w:tcW w:type="dxa" w:w="4680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rtl/>
              </w:rPr>
              <w:t>التهديدات</w:t>
            </w:r>
          </w:p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</w:tbl>
    <w:p>
      <w:pPr>
        <w:bidi/>
        <w:jc w:val="start"/>
      </w:pPr>
      <w:r>
        <w:rPr>
          <w:rFonts w:ascii="Arial" w:hAnsi="Arial" w:cs="Arial"/>
          <w:rtl/>
        </w:rPr>
        <w:t>خلايا مشتقة من الحقائق المتاحة — الخلية الفارغة تعني غياب البيانات، لا سلامة الجانب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التسعير بطبقتيه</w:t>
      </w:r>
    </w:p>
    <w:p>
      <w:pPr>
        <w:bidi/>
        <w:jc w:val="start"/>
      </w:pPr>
      <w:r>
        <w:rPr>
          <w:rFonts w:ascii="Arial" w:hAnsi="Arial" w:cs="Arial"/>
          <w:rtl/>
        </w:rPr>
        <w:t>الطبقة الحدودية (قيم وحدة كومتريد):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المؤشر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النوع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 سعر الوحدة عند الحدود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3.0 USD/kg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مُقدَّر — نموذج بافتراضات معلنة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2026-07-18 | ثقة: عالية (90%)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سعر الوحدة السعودي عند الحدود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2.25 USD/kg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مُقدَّر — نموذج بافتراضات معلنة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UN Comtrade (مخزن الحقائق) | سُحب: 2026-07-18 | ثقة: عالية (85%)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الهامش عند الحدود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—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معادلة «متوسط سعر الوحدة عند الحدود»: قيمة الوحدة = قيمة الواردات ÷ الوزن الصافي (كلاهما مرصود من كومتريد)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>معادلة «سعر الوحدة السعودي عند الحدود»: قيمة وحدة الصادر السعودي = قيمة ÷ وزن صافٍ (تقرير الجهة المستوردة أو التقرير السعودي المباشر — مرآة)</w:t>
      </w:r>
    </w:p>
    <w:p>
      <w:pPr>
        <w:bidi/>
        <w:jc w:val="start"/>
      </w:pPr>
      <w:r>
        <w:rPr>
          <w:rFonts w:ascii="Arial" w:hAnsi="Arial" w:cs="Arial"/>
          <w:rtl/>
        </w:rPr>
        <w:t>طبقة التجزئة: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أسعار التجزئة: وكيل أسعار التجزئة المدفوع: وكيل مدفوع لا يعمل خارج خدمة التعميق المدفوعة — تخطٍّ بنيوي بلا أي نداء؛ ولا نتائج Google Shopping مرصودة (يتطلب تهيئة مفتاح خدمة البحث (Serper))</w:t>
      </w:r>
    </w:p>
    <w:p>
      <w:pPr>
        <w:bidi/>
        <w:jc w:val="start"/>
      </w:pPr>
      <w:r>
        <w:rPr>
          <w:rFonts w:ascii="Arial" w:hAnsi="Arial" w:cs="Arial"/>
          <w:rtl/>
        </w:rPr>
        <w:t>مراجع الأسعار: غير مرصودة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موقعك التنافسي</w:t>
      </w:r>
    </w:p>
    <w:p>
      <w:pPr>
        <w:bidi/>
        <w:jc w:val="start"/>
      </w:pPr>
      <w:r>
        <w:rPr>
          <w:rFonts w:ascii="Arial" w:hAnsi="Arial" w:cs="Arial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١١. استخبارات العميل والطلب</w:t>
      </w:r>
    </w:p>
    <w:p>
      <w:pPr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صوت العميل المباشر (ما الذي يقدّره المشترون وكيف يقيّمون المورّدين) يتطلب بحثاً أولياً — مقابلات أو استبيانات — لم يُجرَ بعد؛ هذا القسم يعرض إشارات ثانوية فقط.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١٢. المشهد التنظيمي والمخاطر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الاشتراطات التنظيمية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البند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الجهة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الاتجاه</w:t>
            </w:r>
          </w:p>
        </w:tc>
        <w:tc>
          <w:tcPr>
            <w:tcW w:type="dxa" w:w="234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الرابط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شهادة المنشأ السعودية للصادرات (وزارة التجارة / الغرف التجارية)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وزارة التجارة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https://mc.gov.sa</w:t>
            </w:r>
          </w:p>
        </w:tc>
      </w:tr>
      <w:tr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متطلبات SFDA لتصدير الفئات الخاضعة (منشآت مرخّصة وشهادات صحية عند طلب سوق الوجهة)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الهيئة العامة للغذاء والدواء SFDA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https://www.sfda.gov.sa</w:t>
            </w:r>
          </w:p>
        </w:tc>
      </w:tr>
      <w:tr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التسجيل في بوابة هيئة تنمية الصادرات السعودية (خدمات وبرامج دعم المصدرين)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هيئة تنمية الصادرات السعودية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exit</w:t>
            </w:r>
          </w:p>
        </w:tc>
        <w:tc>
          <w:tcPr>
            <w:tcW w:type="dxa" w:w="234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https://saudiexports.sa</w:t>
            </w:r>
          </w:p>
        </w:tc>
      </w:tr>
    </w:tbl>
    <w:p>
      <w:pPr>
        <w:pStyle w:val="IntenseQuote"/>
        <w:bidi/>
        <w:jc w:val="start"/>
      </w:pPr>
      <w:r>
        <w:rPr>
          <w:rFonts w:ascii="Arial" w:hAnsi="Arial" w:cs="Arial"/>
          <w:rtl/>
        </w:rPr>
        <w:t>المصدر: Silk L1 requirements reference (official portals / EUR-Lex) | سُحب: 2026-07-18 | ثقة: عالية (80%)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غير متوفر: التعريفة الجمركية المطبّقة: WITS غير متاح الآن (تعذّر الاتصال بالمصدر — خطأ تقني مؤقت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سجل المخاطر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الخطر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الشدة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الدليل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تركّز مصادر التوريد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HHI=0.38 &gt; 0.25 (كومتريد)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بيانات منخفضة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متوسطة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تغطية الوكلاء 39% &lt; 60% — القرار مشروط باكتمالها</w:t>
            </w:r>
          </w:p>
        </w:tc>
      </w:tr>
    </w:tbl>
    <w:p>
      <w:pPr>
        <w:pStyle w:val="Heading1"/>
        <w:bidi/>
        <w:jc w:val="start"/>
      </w:pPr>
      <w:r>
        <w:rPr>
          <w:rFonts w:ascii="Arial" w:hAnsi="Arial" w:cs="Arial"/>
          <w:rtl/>
        </w:rPr>
        <w:t>١٣. الاتجاهات والتوقع المستقبلي</w:t>
      </w:r>
    </w:p>
    <w:p>
      <w:pPr>
        <w:bidi/>
        <w:jc w:val="start"/>
      </w:pPr>
      <w:r>
        <w:rPr>
          <w:rFonts w:ascii="Arial" w:hAnsi="Arial" w:cs="Arial"/>
          <w:rtl/>
        </w:rPr>
        <w:t>بيانات الاتجاه غير كافية لهذه السنوات.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حدود هذا التقرير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الصين: دخل الفرد غير متوفر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الإمارات: دخل الفرد غير متوفر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١٤. التوصيات الاستراتيجية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استراتيجية دخول السوق</w:t>
      </w:r>
    </w:p>
    <w:p>
      <w:pPr>
        <w:bidi/>
        <w:jc w:val="start"/>
      </w:pPr>
      <w:r>
        <w:rPr>
          <w:rFonts w:ascii="Arial" w:hAnsi="Arial" w:cs="Arial"/>
          <w:rtl/>
        </w:rPr>
        <w:t>النموذج الموصى به: عبر موزّع/مستورد محلي قائم</w:t>
      </w:r>
    </w:p>
    <w:p>
      <w:pPr>
        <w:bidi/>
        <w:jc w:val="start"/>
      </w:pPr>
      <w:r>
        <w:rPr>
          <w:rFonts w:ascii="Arial" w:hAnsi="Arial" w:cs="Arial"/>
          <w:rtl/>
        </w:rPr>
        <w:t>الأساس (من الأقسام أعلاه، لا رقم جديد):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مؤشر تركّز الموردين HHI=0.38 (سوق مركّز)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أكبر حصة مورّد واحد 50.0%</w:t>
      </w:r>
    </w:p>
    <w:p>
      <w:pPr>
        <w:bidi/>
        <w:jc w:val="start"/>
      </w:pPr>
      <w:r>
        <w:rPr>
          <w:rFonts w:ascii="Arial" w:hAnsi="Arial" w:cs="Arial"/>
          <w:rtl/>
        </w:rPr>
        <w:t>التوصية: دخول مشروط — سوق الصين (ثقة منخفضة (31%))</w:t>
      </w:r>
    </w:p>
    <w:p>
      <w:pPr>
        <w:bidi/>
        <w:jc w:val="start"/>
      </w:pPr>
      <w:r>
        <w:rPr>
          <w:rFonts w:ascii="Arial" w:hAnsi="Arial" w:cs="Arial"/>
          <w:rtl/>
        </w:rPr>
        <w:t>أضف بطاقة منتجك (product_card) للحصول على موقعك التنافسي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دليل المورّدين والمستوردين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دليل المورّدين والمصنّعين</w:t>
      </w:r>
    </w:p>
    <w:p>
      <w:pPr>
        <w:bidi/>
        <w:jc w:val="start"/>
      </w:pPr>
      <w:r>
        <w:rPr>
          <w:rFonts w:ascii="Arial" w:hAnsi="Arial" w:cs="Arial"/>
          <w:rtl/>
        </w:rPr>
        <w:t>مورّدون ومصنّعون سعوديون: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موزّعون ومستوردون في السوق المستهدف:</w:t>
      </w:r>
    </w:p>
    <w:p>
      <w:pPr>
        <w:pStyle w:val="ListBullet"/>
        <w:bidi/>
        <w:jc w:val="start"/>
      </w:pPr>
      <w:r>
        <w:rPr>
          <w:rFonts w:ascii="Arial" w:hAnsi="Arial" w:cs="Arial"/>
          <w:rtl/>
        </w:rPr>
        <w:t>—</w:t>
      </w:r>
    </w:p>
    <w:p>
      <w:pPr>
        <w:bidi/>
        <w:jc w:val="start"/>
      </w:pPr>
      <w:r>
        <w:rPr>
          <w:rFonts w:ascii="Arial" w:hAnsi="Arial" w:cs="Arial"/>
          <w:rtl/>
        </w:rPr>
        <w:t>مرشّحون غير موثَّقين (○ غير متحقق) — أكّدهم قبل التعاقد؛ الترقية الموثّقة عبر خدمة التعميق المدفوعة</w:t>
      </w:r>
    </w:p>
    <w:p>
      <w:pPr>
        <w:pStyle w:val="Heading1"/>
        <w:bidi/>
        <w:jc w:val="start"/>
      </w:pPr>
      <w:r>
        <w:rPr>
          <w:rFonts w:ascii="Arial" w:hAnsi="Arial" w:cs="Arial"/>
          <w:rtl/>
        </w:rPr>
        <w:t>الملحق: تغطية المصادر وأثرها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القسم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المُسهم/المُحاوَل</w:t>
            </w:r>
          </w:p>
        </w:tc>
        <w:tc>
          <w:tcPr>
            <w:tcW w:type="dxa" w:w="3120"/>
            <w:shd w:val="clear" w:fill="1B3B6F"/>
          </w:tcPr>
          <w:p>
            <w:pPr>
              <w:bidi/>
              <w:jc w:val="start"/>
            </w:pPr>
            <w:r>
              <w:rPr>
                <w:rFonts w:ascii="Arial" w:hAnsi="Arial" w:cs="Arial"/>
                <w:b/>
                <w:color w:val="FFFFFF"/>
                <w:rtl/>
              </w:rPr>
              <w:t>الدرجة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حجم السوق والمنافسة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3/3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الاشتراطات والتعريفة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3/4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0.75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المنافسون بالاسم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0/0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الأسعار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2/2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1.0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الطلب والقدرة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0/1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المخاطر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0/4</w:t>
            </w:r>
          </w:p>
        </w:tc>
        <w:tc>
          <w:tcPr>
            <w:tcW w:type="dxa" w:w="3120"/>
            <w:shd w:val="clear" w:fill="F2F2F2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  <w:tr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الاتجاه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0/5</w:t>
            </w:r>
          </w:p>
        </w:tc>
        <w:tc>
          <w:tcPr>
            <w:tcW w:type="dxa" w:w="3120"/>
          </w:tcPr>
          <w:p>
            <w:pPr>
              <w:bidi/>
              <w:jc w:val="start"/>
            </w:pPr>
            <w:r>
              <w:rPr>
                <w:rFonts w:ascii="Arial" w:hAnsi="Arial" w:cs="Arial"/>
                <w:rtl/>
              </w:rPr>
              <w:t>0.0</w:t>
            </w:r>
          </w:p>
        </w:tc>
      </w:tr>
    </w:tbl>
    <w:p>
      <w:pPr>
        <w:pStyle w:val="Heading2"/>
        <w:bidi/>
        <w:jc w:val="start"/>
      </w:pPr>
      <w:r>
        <w:rPr>
          <w:rFonts w:ascii="Arial" w:hAnsi="Arial" w:cs="Arial"/>
          <w:rtl/>
        </w:rPr>
        <w:t>أقسام دون عتبة الكفاية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«المنافسون بالاسم» (0/2 حقائق سوقية) — المصادر المُحاوَلة: لا مصادر مُحاوَلة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«الطلب والقدرة» (0/1 حقائق سوقية) — المصادر المُحاوَلة: World Bank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«المخاطر» (0/2 حقائق سوقية) — المصادر المُحاوَلة: World Bank</w:t>
      </w:r>
    </w:p>
    <w:p>
      <w:pPr>
        <w:bidi/>
        <w:jc w:val="start"/>
      </w:pPr>
      <w:r>
        <w:rPr>
          <w:rFonts w:ascii="Arial" w:hAnsi="Arial" w:cs="Arial"/>
          <w:rtl/>
        </w:rPr>
        <w:t>بيانات غير كافية لقسم «الاتجاه» (0/2 حقائق سوقية) — المصادر المُحاوَلة: UN Comtrade</w:t>
      </w:r>
    </w:p>
    <w:p>
      <w:pPr>
        <w:pStyle w:val="Heading2"/>
        <w:bidi/>
        <w:jc w:val="start"/>
      </w:pPr>
      <w:r>
        <w:rPr>
          <w:rFonts w:ascii="Arial" w:hAnsi="Arial" w:cs="Arial"/>
          <w:rtl/>
        </w:rPr>
        <w:t>أثر المصادر (المحاولات والإسهام)</w:t>
      </w:r>
    </w:p>
    <w:p>
      <w:pPr>
        <w:bidi/>
        <w:jc w:val="start"/>
      </w:pPr>
      <w:r>
        <w:rPr>
          <w:rFonts w:ascii="Arial" w:hAnsi="Arial" w:cs="Arial"/>
          <w:rtl/>
        </w:rPr>
        <w:t>UN Comtrade: أسهم 18 من 18 محاولة</w:t>
      </w:r>
    </w:p>
    <w:p>
      <w:pPr>
        <w:bidi/>
        <w:jc w:val="start"/>
      </w:pPr>
      <w:r>
        <w:rPr>
          <w:rFonts w:ascii="Arial" w:hAnsi="Arial" w:cs="Arial"/>
          <w:rtl/>
        </w:rPr>
        <w:t>Silk L1 requirements reference (official portals / EUR-Lex): أسهم 16 من 17 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سوق CHN (موثّق جزئياً) غير مغطى بالمرجع الثابت بعد — تحقق محلياً (verify locally)</w:t>
      </w:r>
    </w:p>
    <w:p>
      <w:pPr>
        <w:bidi/>
        <w:jc w:val="start"/>
      </w:pPr>
      <w:r>
        <w:rPr>
          <w:rFonts w:ascii="Arial" w:hAnsi="Arial" w:cs="Arial"/>
          <w:rtl/>
        </w:rPr>
        <w:t>UN Comtrade (مخزن الحقائق): أسهم 14 من 14 محاولة</w:t>
      </w:r>
    </w:p>
    <w:p>
      <w:pPr>
        <w:bidi/>
        <w:jc w:val="start"/>
      </w:pPr>
      <w:r>
        <w:rPr>
          <w:rFonts w:ascii="Arial" w:hAnsi="Arial" w:cs="Arial"/>
          <w:rtl/>
        </w:rPr>
        <w:t>Pew Research Center (لقطة ساكنة مقرّبة): أسهم 4 من 4 محاولة</w:t>
      </w:r>
    </w:p>
    <w:p>
      <w:pPr>
        <w:bidi/>
        <w:jc w:val="start"/>
      </w:pPr>
      <w:r>
        <w:rPr>
          <w:rFonts w:ascii="Arial" w:hAnsi="Arial" w:cs="Arial"/>
          <w:rtl/>
        </w:rPr>
        <w:t>World Bank: أسهم 0 من 10 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no income data for CHN 2023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الاستقرار السياسي (WGI) — الاستقرار السياسي (CHN): تعذّر الجلب — أعد المحاولة</w:t>
      </w:r>
    </w:p>
    <w:p>
      <w:pPr>
        <w:pStyle w:val="IntenseQuote"/>
        <w:bidi/>
        <w:jc w:val="start"/>
      </w:pPr>
      <w:r>
        <w:rPr>
          <w:rFonts w:ascii="Arial" w:hAnsi="Arial" w:cs="Arial"/>
          <w:rtl/>
        </w:rPr>
        <w:t xml:space="preserve">    فشل مُسجَّل: جودة التنظيم (WGI) — الجودة التنظيمية (CHN): تعذّر الجلب — أعد المحاولة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Arial" w:hAnsi="Arial" w:cs="Arial"/>
        <w:rtl/>
      </w:rPr>
      <w:t xml:space="preserve">سلك لذكاء الأسواق — منصة تحليل أسواق التصدير السعودية — صفحة </w:t>
    </w:r>
    <w:r>
      <w:rPr>
        <w:rFonts w:ascii="Arial" w:hAnsi="Arial" w:cs="Arial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Arial" w:hAnsi="Arial" w:cs="Arial"/>
        <w:rtl/>
      </w:rPr>
      <w:t>سلك — تقرير بحث سوق: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jc w:val="start"/>
    </w:pPr>
    <w:rPr>
      <w:rFonts w:ascii="Arial" w:hAnsi="Arial" w:cs="Arial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Arial" w:hAnsi="Arial" w:cs="Arial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Arial" w:hAnsi="Arial" w:cs="Arial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Arial" w:hAnsi="Arial" w:cs="Arial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Arial" w:hAnsi="Arial" w:cs="Arial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Arial" w:hAnsi="Arial" w:cs="Arial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Arial" w:hAnsi="Arial" w:cs="Arial"/>
      <w:color w:val="17365D" w:themeColor="text2" w:themeShade="BF"/>
      <w:spacing w:val="5"/>
      <w:kern w:val="28"/>
      <w:sz w:val="52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Arial" w:hAnsi="Arial" w:cs="Arial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Arial" w:hAnsi="Arial" w:cs="Arial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Arial" w:hAnsi="Arial" w:cs="Arial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Arial" w:hAnsi="Arial" w:cs="Arial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Arial" w:hAnsi="Arial" w:cs="Arial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Arial" w:hAnsi="Arial" w:cs="Arial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Arial" w:hAnsi="Arial" w:cs="Arial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Arial" w:hAnsi="Arial" w:cs="Arial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Arial" w:hAnsi="Arial" w:cs="Arial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Arial" w:hAnsi="Arial" w:cs="Arial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Arial" w:hAnsi="Arial" w:cs="Arial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Arial" w:hAnsi="Arial" w:cs="Arial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Arial" w:hAnsi="Arial" w:cs="Arial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Arial" w:hAnsi="Arial" w:cs="Arial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Arial" w:hAnsi="Arial" w:cs="Arial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Arial" w:hAnsi="Arial" w:cs="Arial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Arial" w:hAnsi="Arial" w:cs="Arial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Arial" w:hAnsi="Arial" w:cs="Arial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Arial" w:hAnsi="Arial" w:cs="Arial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Arial" w:hAnsi="Arial" w:cs="Arial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Arial" w:hAnsi="Arial" w:cs="Arial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